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C8" w:rsidRPr="00EB78D2" w:rsidRDefault="00CD68B8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78D2">
        <w:rPr>
          <w:rFonts w:ascii="Arial" w:hAnsi="Arial" w:cs="Arial"/>
          <w:b/>
          <w:sz w:val="24"/>
          <w:szCs w:val="24"/>
        </w:rPr>
        <w:t xml:space="preserve"> RESOLUCIÓN </w:t>
      </w:r>
      <w:r w:rsidR="001438C5">
        <w:rPr>
          <w:rFonts w:ascii="Arial" w:hAnsi="Arial" w:cs="Arial"/>
          <w:b/>
          <w:sz w:val="24"/>
          <w:szCs w:val="24"/>
        </w:rPr>
        <w:t>No. SC.DSC.G.13.</w:t>
      </w:r>
      <w:r w:rsidR="004B3617">
        <w:rPr>
          <w:rFonts w:ascii="Arial" w:hAnsi="Arial" w:cs="Arial"/>
          <w:b/>
          <w:sz w:val="24"/>
          <w:szCs w:val="24"/>
        </w:rPr>
        <w:t>011</w:t>
      </w:r>
    </w:p>
    <w:p w:rsidR="006F3BC8" w:rsidRPr="00EB78D2" w:rsidRDefault="006F3BC8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823F2" w:rsidRPr="00EB78D2" w:rsidRDefault="00C823F2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>Ab. Suad Manssur Villagrán</w:t>
      </w:r>
    </w:p>
    <w:p w:rsidR="00C823F2" w:rsidRPr="00EB78D2" w:rsidRDefault="004D472A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SUPERINTENDENTA DE COMPAÑÍ</w:t>
      </w:r>
      <w:r w:rsidR="00C823F2" w:rsidRPr="00EB78D2">
        <w:rPr>
          <w:rFonts w:ascii="Arial" w:hAnsi="Arial" w:cs="Arial"/>
          <w:b/>
          <w:sz w:val="24"/>
          <w:szCs w:val="24"/>
        </w:rPr>
        <w:t>AS</w:t>
      </w:r>
    </w:p>
    <w:p w:rsidR="00C823F2" w:rsidRPr="00EB78D2" w:rsidRDefault="00C823F2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823F2" w:rsidRPr="00EB78D2" w:rsidRDefault="00C823F2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>Considerando: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6C45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 xml:space="preserve">Que el artículo 66 de la Constitución de la República, en sus numerales 16 y 25, reconoce y garantiza a las personas el derecho a la libertad de contratación y el acceso a bienes, servicios públicos y privados de calidad, con eficiencia, eficacia y buen trato, así como a recibir información adecuada y veraz sobre su contenido y </w:t>
      </w:r>
      <w:r w:rsidR="00CD68B8" w:rsidRPr="00EB78D2">
        <w:rPr>
          <w:rFonts w:ascii="Arial" w:hAnsi="Arial" w:cs="Arial"/>
          <w:sz w:val="24"/>
          <w:szCs w:val="24"/>
        </w:rPr>
        <w:t>c</w:t>
      </w:r>
      <w:r w:rsidRPr="00EB78D2">
        <w:rPr>
          <w:rFonts w:ascii="Arial" w:hAnsi="Arial" w:cs="Arial"/>
          <w:sz w:val="24"/>
          <w:szCs w:val="24"/>
        </w:rPr>
        <w:t>aracterísticas</w:t>
      </w:r>
      <w:r w:rsidR="00AD6C45" w:rsidRPr="00EB78D2">
        <w:rPr>
          <w:rFonts w:ascii="Arial" w:hAnsi="Arial" w:cs="Arial"/>
          <w:sz w:val="24"/>
          <w:szCs w:val="24"/>
        </w:rPr>
        <w:t>;</w:t>
      </w:r>
    </w:p>
    <w:p w:rsidR="00AD6C45" w:rsidRPr="00EB78D2" w:rsidRDefault="00AD6C45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AD6C45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</w:t>
      </w:r>
      <w:r w:rsidR="00C823F2" w:rsidRPr="00EB78D2">
        <w:rPr>
          <w:rFonts w:ascii="Arial" w:hAnsi="Arial" w:cs="Arial"/>
          <w:sz w:val="24"/>
          <w:szCs w:val="24"/>
        </w:rPr>
        <w:t xml:space="preserve"> el artículo 336 </w:t>
      </w:r>
      <w:r w:rsidRPr="00EB78D2">
        <w:rPr>
          <w:rFonts w:ascii="Arial" w:hAnsi="Arial" w:cs="Arial"/>
          <w:sz w:val="24"/>
          <w:szCs w:val="24"/>
        </w:rPr>
        <w:t xml:space="preserve">de la Constitución de la República </w:t>
      </w:r>
      <w:r w:rsidR="00C823F2" w:rsidRPr="00EB78D2">
        <w:rPr>
          <w:rFonts w:ascii="Arial" w:hAnsi="Arial" w:cs="Arial"/>
          <w:sz w:val="24"/>
          <w:szCs w:val="24"/>
        </w:rPr>
        <w:t>señala que el Estado impulsará y velará por el comercio justo como medio de acceso a bienes y servicios de calidad, que minimice las distorsiones de la intermediación y promueva la sustentabilidad y, además, asegurará la transparencia y eficiencia en los mercados que fomente la competencia en igualdad de condiciones y oportunidades</w:t>
      </w:r>
      <w:r w:rsidR="00CD68B8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el artículo 213 de la Constitución</w:t>
      </w:r>
      <w:r w:rsidR="00322E66" w:rsidRPr="00EB78D2">
        <w:rPr>
          <w:rFonts w:ascii="Arial" w:hAnsi="Arial" w:cs="Arial"/>
          <w:sz w:val="24"/>
          <w:szCs w:val="24"/>
        </w:rPr>
        <w:t xml:space="preserve"> de la República</w:t>
      </w:r>
      <w:r w:rsidRPr="00EB78D2">
        <w:rPr>
          <w:rFonts w:ascii="Arial" w:hAnsi="Arial" w:cs="Arial"/>
          <w:sz w:val="24"/>
          <w:szCs w:val="24"/>
        </w:rPr>
        <w:t xml:space="preserve"> establece que las superintendencias son organismos técnicos de vigilancia, auditoría, intervención y control de las actividades económicas, sociales y ambientales, y de los servicios que prestan las entidades públicas y privadas, con el propósito de que estas actividades y servicios se sujeten al ordenamiento jurídico y atiendan al interés general</w:t>
      </w:r>
      <w:r w:rsidR="00CD68B8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el artículo 226 de la misma Constitución</w:t>
      </w:r>
      <w:r w:rsidR="00322E66" w:rsidRPr="00EB78D2">
        <w:rPr>
          <w:rFonts w:ascii="Arial" w:hAnsi="Arial" w:cs="Arial"/>
          <w:sz w:val="24"/>
          <w:szCs w:val="24"/>
        </w:rPr>
        <w:t xml:space="preserve"> de la República</w:t>
      </w:r>
      <w:r w:rsidRPr="00EB78D2">
        <w:rPr>
          <w:rFonts w:ascii="Arial" w:hAnsi="Arial" w:cs="Arial"/>
          <w:sz w:val="24"/>
          <w:szCs w:val="24"/>
        </w:rPr>
        <w:t xml:space="preserve"> establece el deber de las instituciones del Estado de coordinar acciones para el cumplimiento de sus fines y hacer efectivo el goce y ejercicio de los derechos reconocidos en la Constitución</w:t>
      </w:r>
      <w:r w:rsidR="00CD68B8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D68B8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l</w:t>
      </w:r>
      <w:r w:rsidR="00322E66" w:rsidRPr="00EB78D2">
        <w:rPr>
          <w:rFonts w:ascii="Arial" w:hAnsi="Arial" w:cs="Arial"/>
          <w:sz w:val="24"/>
          <w:szCs w:val="24"/>
        </w:rPr>
        <w:t xml:space="preserve">a Disposición General Segunda </w:t>
      </w:r>
      <w:r w:rsidR="00D25F95" w:rsidRPr="00EB78D2">
        <w:rPr>
          <w:rFonts w:ascii="Arial" w:hAnsi="Arial" w:cs="Arial"/>
          <w:sz w:val="24"/>
          <w:szCs w:val="24"/>
        </w:rPr>
        <w:t>del</w:t>
      </w:r>
      <w:r w:rsidR="00322E66" w:rsidRPr="00EB78D2">
        <w:rPr>
          <w:rFonts w:ascii="Arial" w:hAnsi="Arial" w:cs="Arial"/>
          <w:sz w:val="24"/>
          <w:szCs w:val="24"/>
        </w:rPr>
        <w:t xml:space="preserve"> Capítulo V de </w:t>
      </w:r>
      <w:r w:rsidRPr="00EB78D2">
        <w:rPr>
          <w:rFonts w:ascii="Arial" w:hAnsi="Arial" w:cs="Arial"/>
          <w:sz w:val="24"/>
          <w:szCs w:val="24"/>
        </w:rPr>
        <w:t>la Ley de Regulación del Costo Máximo Efectivo del Crédito, publicada en el Registro Oficial Suplemento No. 135 del 26 de julio del 2007</w:t>
      </w:r>
      <w:r w:rsidR="00356950" w:rsidRPr="00EB78D2">
        <w:rPr>
          <w:rFonts w:ascii="Arial" w:hAnsi="Arial" w:cs="Arial"/>
          <w:sz w:val="24"/>
          <w:szCs w:val="24"/>
        </w:rPr>
        <w:t>,</w:t>
      </w:r>
      <w:r w:rsidRPr="00EB78D2">
        <w:rPr>
          <w:rFonts w:ascii="Arial" w:hAnsi="Arial" w:cs="Arial"/>
          <w:sz w:val="24"/>
          <w:szCs w:val="24"/>
        </w:rPr>
        <w:t xml:space="preserve"> </w:t>
      </w:r>
      <w:r w:rsidRPr="00EB78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78D2">
        <w:rPr>
          <w:rFonts w:ascii="Arial" w:hAnsi="Arial" w:cs="Arial"/>
          <w:sz w:val="24"/>
          <w:szCs w:val="24"/>
        </w:rPr>
        <w:t>establece que las personas naturales o jurídicas dedicadas a actividades comerciales que realicen sus ventas a crédito, sólo podrán cobrar la tasa de interés efectiva del segmento de consumo, más los impuestos de ley, y de ninguna manera comisiones u otr</w:t>
      </w:r>
      <w:r w:rsidR="009A4D32" w:rsidRPr="00EB78D2">
        <w:rPr>
          <w:rFonts w:ascii="Arial" w:hAnsi="Arial" w:cs="Arial"/>
          <w:sz w:val="24"/>
          <w:szCs w:val="24"/>
        </w:rPr>
        <w:t xml:space="preserve">os conceptos adicionales; </w:t>
      </w:r>
    </w:p>
    <w:p w:rsidR="00CD68B8" w:rsidRPr="00EB78D2" w:rsidRDefault="00CD68B8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D68B8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</w:t>
      </w:r>
      <w:r w:rsidR="009A4D32" w:rsidRPr="00EB78D2">
        <w:rPr>
          <w:rFonts w:ascii="Arial" w:hAnsi="Arial" w:cs="Arial"/>
          <w:sz w:val="24"/>
          <w:szCs w:val="24"/>
        </w:rPr>
        <w:t xml:space="preserve"> la </w:t>
      </w:r>
      <w:r w:rsidR="00C823F2" w:rsidRPr="00EB78D2">
        <w:rPr>
          <w:rFonts w:ascii="Arial" w:hAnsi="Arial" w:cs="Arial"/>
          <w:sz w:val="24"/>
          <w:szCs w:val="24"/>
        </w:rPr>
        <w:t>Disposición General Tercera</w:t>
      </w:r>
      <w:r w:rsidR="009A4D32" w:rsidRPr="00EB78D2">
        <w:rPr>
          <w:rFonts w:ascii="Arial" w:hAnsi="Arial" w:cs="Arial"/>
          <w:sz w:val="24"/>
          <w:szCs w:val="24"/>
        </w:rPr>
        <w:t xml:space="preserve"> del </w:t>
      </w:r>
      <w:r w:rsidRPr="00EB78D2">
        <w:rPr>
          <w:rFonts w:ascii="Arial" w:hAnsi="Arial" w:cs="Arial"/>
          <w:sz w:val="24"/>
          <w:szCs w:val="24"/>
        </w:rPr>
        <w:t xml:space="preserve">Capítulo V de la Ley de Regulación del Costo Máximo Efectivo del Crédito </w:t>
      </w:r>
      <w:r w:rsidR="00C823F2" w:rsidRPr="00EB78D2">
        <w:rPr>
          <w:rFonts w:ascii="Arial" w:hAnsi="Arial" w:cs="Arial"/>
          <w:sz w:val="24"/>
          <w:szCs w:val="24"/>
        </w:rPr>
        <w:t>dispone que la Superintendencia de Bancos y Seguros y la Superintendencia de Compañías controlarán, en el ámbito de sus respectivas competencias, el cumplimiento d</w:t>
      </w:r>
      <w:r w:rsidR="00D25F95" w:rsidRPr="00EB78D2">
        <w:rPr>
          <w:rFonts w:ascii="Arial" w:hAnsi="Arial" w:cs="Arial"/>
          <w:sz w:val="24"/>
          <w:szCs w:val="24"/>
        </w:rPr>
        <w:t xml:space="preserve">e las disposiciones de </w:t>
      </w:r>
      <w:r w:rsidR="00BF7CEC" w:rsidRPr="00EB78D2">
        <w:rPr>
          <w:rFonts w:ascii="Arial" w:hAnsi="Arial" w:cs="Arial"/>
          <w:sz w:val="24"/>
          <w:szCs w:val="24"/>
        </w:rPr>
        <w:t>dicha ley;</w:t>
      </w:r>
      <w:r w:rsidR="00D25F95" w:rsidRPr="00EB78D2">
        <w:rPr>
          <w:rFonts w:ascii="Arial" w:hAnsi="Arial" w:cs="Arial"/>
          <w:sz w:val="24"/>
          <w:szCs w:val="24"/>
        </w:rPr>
        <w:t xml:space="preserve"> </w:t>
      </w:r>
      <w:r w:rsidR="00BF7CEC" w:rsidRPr="00EB78D2">
        <w:rPr>
          <w:rFonts w:ascii="Arial" w:hAnsi="Arial" w:cs="Arial"/>
          <w:sz w:val="24"/>
          <w:szCs w:val="24"/>
        </w:rPr>
        <w:t xml:space="preserve">cuerpo legal que en </w:t>
      </w:r>
      <w:r w:rsidR="005D0D9A" w:rsidRPr="00EB78D2">
        <w:rPr>
          <w:rFonts w:ascii="Arial" w:hAnsi="Arial" w:cs="Arial"/>
          <w:sz w:val="24"/>
          <w:szCs w:val="24"/>
        </w:rPr>
        <w:t>la</w:t>
      </w:r>
      <w:r w:rsidR="00C823F2" w:rsidRPr="00EB78D2">
        <w:rPr>
          <w:rFonts w:ascii="Arial" w:hAnsi="Arial" w:cs="Arial"/>
          <w:sz w:val="24"/>
          <w:szCs w:val="24"/>
        </w:rPr>
        <w:t xml:space="preserve"> Disposición Transitoria Tercera</w:t>
      </w:r>
      <w:r w:rsidR="005D0D9A" w:rsidRPr="00EB78D2">
        <w:rPr>
          <w:rFonts w:ascii="Arial" w:hAnsi="Arial" w:cs="Arial"/>
          <w:sz w:val="24"/>
          <w:szCs w:val="24"/>
        </w:rPr>
        <w:t xml:space="preserve"> del Capítulo VI</w:t>
      </w:r>
      <w:r w:rsidR="00C823F2" w:rsidRPr="00EB78D2">
        <w:rPr>
          <w:rFonts w:ascii="Arial" w:hAnsi="Arial" w:cs="Arial"/>
          <w:sz w:val="24"/>
          <w:szCs w:val="24"/>
        </w:rPr>
        <w:t xml:space="preserve"> señala de </w:t>
      </w:r>
      <w:r w:rsidR="00C823F2" w:rsidRPr="00EB78D2">
        <w:rPr>
          <w:rFonts w:ascii="Arial" w:hAnsi="Arial" w:cs="Arial"/>
          <w:sz w:val="24"/>
          <w:szCs w:val="24"/>
        </w:rPr>
        <w:lastRenderedPageBreak/>
        <w:t xml:space="preserve">forma expresa que la Superintendencia de Compañías expedirá la normativa requerida para la aplicación de </w:t>
      </w:r>
      <w:r w:rsidR="00D874CD" w:rsidRPr="00EB78D2">
        <w:rPr>
          <w:rFonts w:ascii="Arial" w:hAnsi="Arial" w:cs="Arial"/>
          <w:sz w:val="24"/>
          <w:szCs w:val="24"/>
        </w:rPr>
        <w:t xml:space="preserve">la indicada </w:t>
      </w:r>
      <w:r w:rsidR="00C823F2" w:rsidRPr="00EB78D2">
        <w:rPr>
          <w:rFonts w:ascii="Arial" w:hAnsi="Arial" w:cs="Arial"/>
          <w:sz w:val="24"/>
          <w:szCs w:val="24"/>
        </w:rPr>
        <w:t>Ley</w:t>
      </w:r>
      <w:r w:rsidR="000045B7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en virtud de lo anotado en el considerando anterior, la Superintendencia de Compañías expidió el REGLAMENTO PAR</w:t>
      </w:r>
      <w:r w:rsidR="00D25F95" w:rsidRPr="00EB78D2">
        <w:rPr>
          <w:rFonts w:ascii="Arial" w:hAnsi="Arial" w:cs="Arial"/>
          <w:sz w:val="24"/>
          <w:szCs w:val="24"/>
        </w:rPr>
        <w:t>A EL CONTROL DE LAS VENTAS A CRÉDITO Y DE LA EMISIÓN DE TARJETAS DE CIRCULACIÓ</w:t>
      </w:r>
      <w:r w:rsidRPr="00EB78D2">
        <w:rPr>
          <w:rFonts w:ascii="Arial" w:hAnsi="Arial" w:cs="Arial"/>
          <w:sz w:val="24"/>
          <w:szCs w:val="24"/>
        </w:rPr>
        <w:t>N RESTRINGIDA, PO</w:t>
      </w:r>
      <w:r w:rsidR="00D25F95" w:rsidRPr="00EB78D2">
        <w:rPr>
          <w:rFonts w:ascii="Arial" w:hAnsi="Arial" w:cs="Arial"/>
          <w:sz w:val="24"/>
          <w:szCs w:val="24"/>
        </w:rPr>
        <w:t>R PARTE DE LAS COMPAÑÍAS SUJETAS A LA SUPERVISIÓ</w:t>
      </w:r>
      <w:r w:rsidRPr="00EB78D2">
        <w:rPr>
          <w:rFonts w:ascii="Arial" w:hAnsi="Arial" w:cs="Arial"/>
          <w:sz w:val="24"/>
          <w:szCs w:val="24"/>
        </w:rPr>
        <w:t>N D</w:t>
      </w:r>
      <w:r w:rsidR="00D25F95" w:rsidRPr="00EB78D2">
        <w:rPr>
          <w:rFonts w:ascii="Arial" w:hAnsi="Arial" w:cs="Arial"/>
          <w:sz w:val="24"/>
          <w:szCs w:val="24"/>
        </w:rPr>
        <w:t>E LA SUPERINTENDENCIA DE COMPAÑÍ</w:t>
      </w:r>
      <w:r w:rsidRPr="00EB78D2">
        <w:rPr>
          <w:rFonts w:ascii="Arial" w:hAnsi="Arial" w:cs="Arial"/>
          <w:sz w:val="24"/>
          <w:szCs w:val="24"/>
        </w:rPr>
        <w:t>AS, el cual establece de forma taxativa en su artículo 3 los servicios que pueden cobrar las compañías sujetas a su control que dentro del giro ordinario de sus negocios rea</w:t>
      </w:r>
      <w:r w:rsidR="00AD51A8" w:rsidRPr="00EB78D2">
        <w:rPr>
          <w:rFonts w:ascii="Arial" w:hAnsi="Arial" w:cs="Arial"/>
          <w:sz w:val="24"/>
          <w:szCs w:val="24"/>
        </w:rPr>
        <w:t xml:space="preserve">licen ventas a crédito </w:t>
      </w:r>
      <w:r w:rsidRPr="00EB78D2">
        <w:rPr>
          <w:rFonts w:ascii="Arial" w:hAnsi="Arial" w:cs="Arial"/>
          <w:sz w:val="24"/>
          <w:szCs w:val="24"/>
        </w:rPr>
        <w:t>y</w:t>
      </w:r>
      <w:r w:rsidR="006952B7" w:rsidRPr="00EB78D2">
        <w:rPr>
          <w:rFonts w:ascii="Arial" w:hAnsi="Arial" w:cs="Arial"/>
          <w:sz w:val="24"/>
          <w:szCs w:val="24"/>
        </w:rPr>
        <w:t xml:space="preserve"> a su vez en el artículo 4</w:t>
      </w:r>
      <w:r w:rsidR="005D0D9A" w:rsidRPr="00EB78D2">
        <w:rPr>
          <w:rFonts w:ascii="Arial" w:hAnsi="Arial" w:cs="Arial"/>
          <w:sz w:val="24"/>
          <w:szCs w:val="24"/>
        </w:rPr>
        <w:t>,</w:t>
      </w:r>
      <w:r w:rsidR="006952B7" w:rsidRPr="00EB78D2">
        <w:rPr>
          <w:rFonts w:ascii="Arial" w:hAnsi="Arial" w:cs="Arial"/>
          <w:sz w:val="24"/>
          <w:szCs w:val="24"/>
        </w:rPr>
        <w:t xml:space="preserve"> expresa que</w:t>
      </w:r>
      <w:r w:rsidRPr="00EB78D2">
        <w:rPr>
          <w:rFonts w:ascii="Arial" w:hAnsi="Arial" w:cs="Arial"/>
          <w:sz w:val="24"/>
          <w:szCs w:val="24"/>
        </w:rPr>
        <w:t xml:space="preserve"> dichas compañías deben remitir trimestralmente</w:t>
      </w:r>
      <w:r w:rsidR="006952B7" w:rsidRPr="00EB78D2">
        <w:rPr>
          <w:rFonts w:ascii="Arial" w:hAnsi="Arial" w:cs="Arial"/>
          <w:sz w:val="24"/>
          <w:szCs w:val="24"/>
        </w:rPr>
        <w:t xml:space="preserve"> la información</w:t>
      </w:r>
      <w:r w:rsidRPr="00EB78D2">
        <w:rPr>
          <w:rFonts w:ascii="Arial" w:hAnsi="Arial" w:cs="Arial"/>
          <w:sz w:val="24"/>
          <w:szCs w:val="24"/>
        </w:rPr>
        <w:t xml:space="preserve"> </w:t>
      </w:r>
      <w:r w:rsidR="009A0F3B" w:rsidRPr="00EB78D2">
        <w:rPr>
          <w:rFonts w:ascii="Arial" w:hAnsi="Arial" w:cs="Arial"/>
          <w:sz w:val="24"/>
          <w:szCs w:val="24"/>
        </w:rPr>
        <w:t>señalada en este artículo al ente de control;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el 3 de diciembre de 2012 se publicó en el Registro Oficial No. 843, Suplemento, la "Ley Orgánica Derogatoria a la Ley de Buros de Información Crediticia y Reformatoria a la Ley del Sistema Nacional del Registro de Datos Públicos, a la Ley Orgánica de la Economía Popular y Solidaria y del Sector Financiero Popular y Solidario y a la Ley de Compañías", cuyo artículo 8 agregó a continuación del artículo 457 de la Ley de Compañías</w:t>
      </w:r>
      <w:r w:rsidR="0029746C" w:rsidRPr="00EB78D2">
        <w:rPr>
          <w:rFonts w:ascii="Arial" w:hAnsi="Arial" w:cs="Arial"/>
          <w:sz w:val="24"/>
          <w:szCs w:val="24"/>
        </w:rPr>
        <w:t xml:space="preserve"> la </w:t>
      </w:r>
      <w:r w:rsidRPr="00EB78D2">
        <w:rPr>
          <w:rFonts w:ascii="Arial" w:hAnsi="Arial" w:cs="Arial"/>
          <w:sz w:val="24"/>
          <w:szCs w:val="24"/>
        </w:rPr>
        <w:t>sección</w:t>
      </w:r>
      <w:r w:rsidR="0029746C" w:rsidRPr="00EB78D2">
        <w:rPr>
          <w:rFonts w:ascii="Arial" w:hAnsi="Arial" w:cs="Arial"/>
          <w:sz w:val="24"/>
          <w:szCs w:val="24"/>
        </w:rPr>
        <w:t xml:space="preserve"> XVII</w:t>
      </w:r>
      <w:r w:rsidRPr="00EB78D2">
        <w:rPr>
          <w:rFonts w:ascii="Arial" w:hAnsi="Arial" w:cs="Arial"/>
          <w:sz w:val="24"/>
          <w:szCs w:val="24"/>
        </w:rPr>
        <w:t xml:space="preserve"> titulada "REGISTRO CREDITICIO"</w:t>
      </w:r>
      <w:r w:rsidR="002C1815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el artículo 458, agregado a la Ley de Compañías, expresa que</w:t>
      </w:r>
      <w:r w:rsidR="0029746C" w:rsidRPr="00EB78D2">
        <w:rPr>
          <w:rFonts w:ascii="Arial" w:hAnsi="Arial" w:cs="Arial"/>
          <w:sz w:val="24"/>
          <w:szCs w:val="24"/>
        </w:rPr>
        <w:t>: “L</w:t>
      </w:r>
      <w:r w:rsidRPr="00EB78D2">
        <w:rPr>
          <w:rFonts w:ascii="Arial" w:hAnsi="Arial" w:cs="Arial"/>
          <w:sz w:val="24"/>
          <w:szCs w:val="24"/>
        </w:rPr>
        <w:t>a Superintendencia de Compañías establecerá las políticas y la forma en que las compañías que se encuentren bajo su control deben entregar la información al Registro Crediticio del Sistema Nacional del Registro de Datos Públicos</w:t>
      </w:r>
      <w:r w:rsidR="0029746C" w:rsidRPr="00EB78D2">
        <w:rPr>
          <w:rFonts w:ascii="Arial" w:hAnsi="Arial" w:cs="Arial"/>
          <w:sz w:val="24"/>
          <w:szCs w:val="24"/>
        </w:rPr>
        <w:t>”</w:t>
      </w:r>
      <w:r w:rsidR="0023159D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el artículo 459, también añadido a la</w:t>
      </w:r>
      <w:r w:rsidR="0029746C" w:rsidRPr="00EB78D2">
        <w:rPr>
          <w:rFonts w:ascii="Arial" w:hAnsi="Arial" w:cs="Arial"/>
          <w:sz w:val="24"/>
          <w:szCs w:val="24"/>
        </w:rPr>
        <w:t xml:space="preserve"> </w:t>
      </w:r>
      <w:r w:rsidR="00BF286B" w:rsidRPr="00EB78D2">
        <w:rPr>
          <w:rFonts w:ascii="Arial" w:hAnsi="Arial" w:cs="Arial"/>
          <w:sz w:val="24"/>
          <w:szCs w:val="24"/>
        </w:rPr>
        <w:t>Ley de Compañías</w:t>
      </w:r>
      <w:r w:rsidR="0029746C" w:rsidRPr="00EB78D2">
        <w:rPr>
          <w:rFonts w:ascii="Arial" w:hAnsi="Arial" w:cs="Arial"/>
          <w:sz w:val="24"/>
          <w:szCs w:val="24"/>
        </w:rPr>
        <w:t xml:space="preserve">, establece </w:t>
      </w:r>
      <w:r w:rsidR="00A07A42">
        <w:rPr>
          <w:rFonts w:ascii="Arial" w:hAnsi="Arial" w:cs="Arial"/>
          <w:sz w:val="24"/>
          <w:szCs w:val="24"/>
        </w:rPr>
        <w:t xml:space="preserve">que </w:t>
      </w:r>
      <w:r w:rsidRPr="00EB78D2">
        <w:rPr>
          <w:rFonts w:ascii="Arial" w:hAnsi="Arial" w:cs="Arial"/>
          <w:sz w:val="24"/>
          <w:szCs w:val="24"/>
        </w:rPr>
        <w:t>las compañías reguladas por la Superintendencia de Compañías, que realicen ventas a crédito, están obligadas a suministrar al Registro Crediticio del Sistema Nacional de Registro de Datos Públicos la información necesa</w:t>
      </w:r>
      <w:r w:rsidR="0029746C" w:rsidRPr="00EB78D2">
        <w:rPr>
          <w:rFonts w:ascii="Arial" w:hAnsi="Arial" w:cs="Arial"/>
          <w:sz w:val="24"/>
          <w:szCs w:val="24"/>
        </w:rPr>
        <w:t>ria para mantenerlo actualizado</w:t>
      </w:r>
      <w:r w:rsidRPr="00EB78D2">
        <w:rPr>
          <w:rFonts w:ascii="Arial" w:hAnsi="Arial" w:cs="Arial"/>
          <w:sz w:val="24"/>
          <w:szCs w:val="24"/>
        </w:rPr>
        <w:t xml:space="preserve">; y, en su letra a), otorga a la misma Superintendencia la potestad de fijar </w:t>
      </w:r>
      <w:r w:rsidR="008D167E" w:rsidRPr="00EB78D2">
        <w:rPr>
          <w:rFonts w:ascii="Arial" w:hAnsi="Arial" w:cs="Arial"/>
          <w:sz w:val="24"/>
          <w:szCs w:val="24"/>
        </w:rPr>
        <w:t>la</w:t>
      </w:r>
      <w:r w:rsidRPr="00EB78D2">
        <w:rPr>
          <w:rFonts w:ascii="Arial" w:hAnsi="Arial" w:cs="Arial"/>
          <w:sz w:val="24"/>
          <w:szCs w:val="24"/>
        </w:rPr>
        <w:t xml:space="preserve"> periodicidad con la cual se debe remitir la información al Registro Crediticio, que no será </w:t>
      </w:r>
      <w:r w:rsidR="004B15FF" w:rsidRPr="00EB78D2">
        <w:rPr>
          <w:rFonts w:ascii="Arial" w:hAnsi="Arial" w:cs="Arial"/>
          <w:sz w:val="24"/>
          <w:szCs w:val="24"/>
        </w:rPr>
        <w:t>superior</w:t>
      </w:r>
      <w:r w:rsidRPr="00EB78D2">
        <w:rPr>
          <w:rFonts w:ascii="Arial" w:hAnsi="Arial" w:cs="Arial"/>
          <w:sz w:val="24"/>
          <w:szCs w:val="24"/>
        </w:rPr>
        <w:t xml:space="preserve"> a un mes</w:t>
      </w:r>
      <w:r w:rsidR="003757A3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 xml:space="preserve">Que para efectos de la aplicación de las leyes y el reglamento citados en </w:t>
      </w:r>
      <w:r w:rsidR="00BF286B" w:rsidRPr="00EB78D2">
        <w:rPr>
          <w:rFonts w:ascii="Arial" w:hAnsi="Arial" w:cs="Arial"/>
          <w:sz w:val="24"/>
          <w:szCs w:val="24"/>
        </w:rPr>
        <w:t>los</w:t>
      </w:r>
      <w:r w:rsidRPr="00EB78D2">
        <w:rPr>
          <w:rFonts w:ascii="Arial" w:hAnsi="Arial" w:cs="Arial"/>
          <w:sz w:val="24"/>
          <w:szCs w:val="24"/>
        </w:rPr>
        <w:t xml:space="preserve"> considerandos</w:t>
      </w:r>
      <w:r w:rsidR="00BF286B" w:rsidRPr="00EB78D2">
        <w:rPr>
          <w:rFonts w:ascii="Arial" w:hAnsi="Arial" w:cs="Arial"/>
          <w:sz w:val="24"/>
          <w:szCs w:val="24"/>
        </w:rPr>
        <w:t xml:space="preserve"> precedentes</w:t>
      </w:r>
      <w:r w:rsidRPr="00EB78D2">
        <w:rPr>
          <w:rFonts w:ascii="Arial" w:hAnsi="Arial" w:cs="Arial"/>
          <w:sz w:val="24"/>
          <w:szCs w:val="24"/>
        </w:rPr>
        <w:t xml:space="preserve">, resulta necesario establecer </w:t>
      </w:r>
      <w:r w:rsidR="00101626" w:rsidRPr="00EB78D2">
        <w:rPr>
          <w:rFonts w:ascii="Arial" w:hAnsi="Arial" w:cs="Arial"/>
          <w:sz w:val="24"/>
          <w:szCs w:val="24"/>
        </w:rPr>
        <w:t xml:space="preserve">la información que las </w:t>
      </w:r>
      <w:r w:rsidRPr="00EB78D2">
        <w:rPr>
          <w:rFonts w:ascii="Arial" w:hAnsi="Arial" w:cs="Arial"/>
          <w:sz w:val="24"/>
          <w:szCs w:val="24"/>
        </w:rPr>
        <w:t>compañías sujetas al control de la</w:t>
      </w:r>
      <w:r w:rsidR="00101626" w:rsidRPr="00EB78D2">
        <w:rPr>
          <w:rFonts w:ascii="Arial" w:hAnsi="Arial" w:cs="Arial"/>
          <w:sz w:val="24"/>
          <w:szCs w:val="24"/>
        </w:rPr>
        <w:t xml:space="preserve"> Superintendencia de Compañías </w:t>
      </w:r>
      <w:r w:rsidRPr="00EB78D2">
        <w:rPr>
          <w:rFonts w:ascii="Arial" w:hAnsi="Arial" w:cs="Arial"/>
          <w:sz w:val="24"/>
          <w:szCs w:val="24"/>
        </w:rPr>
        <w:t xml:space="preserve">tienen la obligación de </w:t>
      </w:r>
      <w:r w:rsidR="00101626" w:rsidRPr="00EB78D2">
        <w:rPr>
          <w:rFonts w:ascii="Arial" w:hAnsi="Arial" w:cs="Arial"/>
          <w:sz w:val="24"/>
          <w:szCs w:val="24"/>
        </w:rPr>
        <w:t>remitir</w:t>
      </w:r>
      <w:r w:rsidRPr="00EB78D2">
        <w:rPr>
          <w:rFonts w:ascii="Arial" w:hAnsi="Arial" w:cs="Arial"/>
          <w:sz w:val="24"/>
          <w:szCs w:val="24"/>
        </w:rPr>
        <w:t xml:space="preserve"> periódicamente a esta Superintendencia y al Registro Crediticio del Sistema Nacional de Registro de Datos Públicos</w:t>
      </w:r>
      <w:r w:rsidR="00101626" w:rsidRPr="00EB78D2">
        <w:rPr>
          <w:rFonts w:ascii="Arial" w:hAnsi="Arial" w:cs="Arial"/>
          <w:sz w:val="24"/>
          <w:szCs w:val="24"/>
        </w:rPr>
        <w:t>,</w:t>
      </w:r>
      <w:r w:rsidRPr="00EB78D2">
        <w:rPr>
          <w:rFonts w:ascii="Arial" w:hAnsi="Arial" w:cs="Arial"/>
          <w:sz w:val="24"/>
          <w:szCs w:val="24"/>
        </w:rPr>
        <w:t xml:space="preserve"> sobre las ventas a crédito que realicen</w:t>
      </w:r>
      <w:r w:rsidR="00101626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 xml:space="preserve">Que mediante memorando No. SC.INGE.DIE.Q.13.017 </w:t>
      </w:r>
      <w:r w:rsidR="00E47021" w:rsidRPr="00EB78D2">
        <w:rPr>
          <w:rFonts w:ascii="Arial" w:hAnsi="Arial" w:cs="Arial"/>
          <w:sz w:val="24"/>
          <w:szCs w:val="24"/>
        </w:rPr>
        <w:t>de</w:t>
      </w:r>
      <w:r w:rsidRPr="00EB78D2">
        <w:rPr>
          <w:rFonts w:ascii="Arial" w:hAnsi="Arial" w:cs="Arial"/>
          <w:sz w:val="24"/>
          <w:szCs w:val="24"/>
        </w:rPr>
        <w:t xml:space="preserve"> fecha 14 de marzo de 2013</w:t>
      </w:r>
      <w:r w:rsidR="00BF286B" w:rsidRPr="00EB78D2">
        <w:rPr>
          <w:rFonts w:ascii="Arial" w:hAnsi="Arial" w:cs="Arial"/>
          <w:sz w:val="24"/>
          <w:szCs w:val="24"/>
        </w:rPr>
        <w:t>,</w:t>
      </w:r>
      <w:r w:rsidRPr="00EB78D2">
        <w:rPr>
          <w:rFonts w:ascii="Arial" w:hAnsi="Arial" w:cs="Arial"/>
          <w:sz w:val="24"/>
          <w:szCs w:val="24"/>
        </w:rPr>
        <w:t xml:space="preserve"> la Dirección de Investigación y Estudios de la Superintendencia de Compañías remitió el análisis de los criterios comunicados por la Dirección </w:t>
      </w:r>
      <w:r w:rsidRPr="00EB78D2">
        <w:rPr>
          <w:rFonts w:ascii="Arial" w:hAnsi="Arial" w:cs="Arial"/>
          <w:sz w:val="24"/>
          <w:szCs w:val="24"/>
        </w:rPr>
        <w:lastRenderedPageBreak/>
        <w:t>Nacional de Registro de Datos Públicos (DINARDAP) sobre los campos que deberían considerarse en los reportes de operaciones crediticias que realicen las compañías mercantiles</w:t>
      </w:r>
      <w:r w:rsidR="0008304F" w:rsidRPr="00EB78D2">
        <w:rPr>
          <w:rFonts w:ascii="Arial" w:hAnsi="Arial" w:cs="Arial"/>
          <w:sz w:val="24"/>
          <w:szCs w:val="24"/>
        </w:rPr>
        <w:t>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Que el artículo 433 de la Ley de Compañías faculta al Superintendente de Compañías a expedir regulaciones, reglamentos y resoluciones para el buen gobierno y vigilancia de las compañías</w:t>
      </w:r>
      <w:r w:rsidR="0008304F" w:rsidRPr="00EB78D2">
        <w:rPr>
          <w:rFonts w:ascii="Arial" w:hAnsi="Arial" w:cs="Arial"/>
          <w:sz w:val="24"/>
          <w:szCs w:val="24"/>
        </w:rPr>
        <w:t xml:space="preserve"> mencionadas en el Art. 431 de la indicada ley;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En ejercicio de las facultades que le confiere la ley</w:t>
      </w:r>
      <w:r w:rsidR="0008304F" w:rsidRPr="00EB78D2">
        <w:rPr>
          <w:rFonts w:ascii="Arial" w:hAnsi="Arial" w:cs="Arial"/>
          <w:sz w:val="24"/>
          <w:szCs w:val="24"/>
        </w:rPr>
        <w:t>,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>Resuelve:</w:t>
      </w:r>
    </w:p>
    <w:p w:rsidR="007A20BB" w:rsidRPr="00EB78D2" w:rsidRDefault="007A20BB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A20BB" w:rsidRPr="00EB78D2" w:rsidRDefault="0008304F" w:rsidP="0029746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Expedir las normas </w:t>
      </w:r>
      <w:r w:rsidR="007A20BB" w:rsidRPr="00EB78D2">
        <w:rPr>
          <w:rFonts w:ascii="Arial" w:hAnsi="Arial" w:cs="Arial"/>
          <w:b/>
          <w:sz w:val="24"/>
          <w:szCs w:val="24"/>
        </w:rPr>
        <w:t>que regul</w:t>
      </w:r>
      <w:r w:rsidRPr="00EB78D2">
        <w:rPr>
          <w:rFonts w:ascii="Arial" w:hAnsi="Arial" w:cs="Arial"/>
          <w:b/>
          <w:sz w:val="24"/>
          <w:szCs w:val="24"/>
        </w:rPr>
        <w:t>an</w:t>
      </w:r>
      <w:r w:rsidR="007A20BB" w:rsidRPr="00EB78D2">
        <w:rPr>
          <w:rFonts w:ascii="Arial" w:hAnsi="Arial" w:cs="Arial"/>
          <w:b/>
          <w:sz w:val="24"/>
          <w:szCs w:val="24"/>
        </w:rPr>
        <w:t xml:space="preserve"> el envío de la información que las compañías sujetas a la vigilancia y control de la Superintendencia de Compañías, que realizan ventas a crédito, deben reportar a la Dirección Nacional de Registro de Datos Públicos (DINARDAP)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 xml:space="preserve">Art. 1.- Las compañías sujetas a la supervisión y control de la Superintendencia de Compañías que dentro </w:t>
      </w:r>
      <w:r w:rsidR="005F48BF" w:rsidRPr="00EB78D2">
        <w:rPr>
          <w:rFonts w:ascii="Arial" w:hAnsi="Arial" w:cs="Arial"/>
          <w:sz w:val="24"/>
          <w:szCs w:val="24"/>
        </w:rPr>
        <w:t xml:space="preserve">de sus actividades </w:t>
      </w:r>
      <w:r w:rsidRPr="00EB78D2">
        <w:rPr>
          <w:rFonts w:ascii="Arial" w:hAnsi="Arial" w:cs="Arial"/>
          <w:sz w:val="24"/>
          <w:szCs w:val="24"/>
        </w:rPr>
        <w:t xml:space="preserve">realicen ventas a crédito, con o sin intereses, tendrán la obligación de </w:t>
      </w:r>
      <w:r w:rsidR="004B6E9D" w:rsidRPr="00EB78D2">
        <w:rPr>
          <w:rFonts w:ascii="Arial" w:hAnsi="Arial" w:cs="Arial"/>
          <w:sz w:val="24"/>
          <w:szCs w:val="24"/>
        </w:rPr>
        <w:t xml:space="preserve">transferir </w:t>
      </w:r>
      <w:r w:rsidR="00EA7DBC">
        <w:rPr>
          <w:rFonts w:ascii="Arial" w:hAnsi="Arial" w:cs="Arial"/>
          <w:sz w:val="24"/>
          <w:szCs w:val="24"/>
        </w:rPr>
        <w:t xml:space="preserve">hasta el 10 de cada mes </w:t>
      </w:r>
      <w:r w:rsidR="004B6E9D" w:rsidRPr="00EB78D2">
        <w:rPr>
          <w:rFonts w:ascii="Arial" w:hAnsi="Arial" w:cs="Arial"/>
          <w:sz w:val="24"/>
          <w:szCs w:val="24"/>
        </w:rPr>
        <w:t>la</w:t>
      </w:r>
      <w:r w:rsidRPr="00EB78D2">
        <w:rPr>
          <w:rFonts w:ascii="Arial" w:hAnsi="Arial" w:cs="Arial"/>
          <w:sz w:val="24"/>
          <w:szCs w:val="24"/>
        </w:rPr>
        <w:t xml:space="preserve"> información sobre dichas operaciones al</w:t>
      </w:r>
      <w:r w:rsidR="00356F01" w:rsidRPr="00EB78D2">
        <w:rPr>
          <w:rFonts w:ascii="Arial" w:hAnsi="Arial" w:cs="Arial"/>
          <w:sz w:val="24"/>
          <w:szCs w:val="24"/>
        </w:rPr>
        <w:t xml:space="preserve"> Registro de Datos Crediticios</w:t>
      </w:r>
      <w:r w:rsidR="002F1EA5" w:rsidRPr="00EB78D2">
        <w:rPr>
          <w:rFonts w:ascii="Arial" w:hAnsi="Arial" w:cs="Arial"/>
          <w:sz w:val="24"/>
          <w:szCs w:val="24"/>
        </w:rPr>
        <w:t xml:space="preserve">, que forma parte </w:t>
      </w:r>
      <w:r w:rsidR="00356F01" w:rsidRPr="00EB78D2">
        <w:rPr>
          <w:rFonts w:ascii="Arial" w:hAnsi="Arial" w:cs="Arial"/>
          <w:sz w:val="24"/>
          <w:szCs w:val="24"/>
        </w:rPr>
        <w:t>del Sistema Nacional de Registro de Datos Públicos</w:t>
      </w:r>
      <w:r w:rsidRPr="00EB78D2">
        <w:rPr>
          <w:rFonts w:ascii="Arial" w:hAnsi="Arial" w:cs="Arial"/>
          <w:sz w:val="24"/>
          <w:szCs w:val="24"/>
        </w:rPr>
        <w:t xml:space="preserve">, </w:t>
      </w:r>
      <w:r w:rsidR="004E34B6">
        <w:rPr>
          <w:rFonts w:ascii="Arial" w:hAnsi="Arial" w:cs="Arial"/>
          <w:sz w:val="24"/>
          <w:szCs w:val="24"/>
        </w:rPr>
        <w:t xml:space="preserve">de manera mensual, </w:t>
      </w:r>
      <w:r w:rsidR="004B6E9D" w:rsidRPr="00EB78D2">
        <w:rPr>
          <w:rFonts w:ascii="Arial" w:hAnsi="Arial" w:cs="Arial"/>
          <w:sz w:val="24"/>
          <w:szCs w:val="24"/>
        </w:rPr>
        <w:t>mediante el uso de archivos de texto</w:t>
      </w:r>
      <w:r w:rsidR="002F1EA5" w:rsidRPr="00EB78D2">
        <w:rPr>
          <w:rFonts w:ascii="Arial" w:hAnsi="Arial" w:cs="Arial"/>
          <w:sz w:val="24"/>
          <w:szCs w:val="24"/>
        </w:rPr>
        <w:t xml:space="preserve"> del</w:t>
      </w:r>
      <w:r w:rsidR="003B6D1A" w:rsidRPr="00EB78D2">
        <w:rPr>
          <w:rFonts w:ascii="Arial" w:hAnsi="Arial" w:cs="Arial"/>
          <w:sz w:val="24"/>
          <w:szCs w:val="24"/>
        </w:rPr>
        <w:t>imitados por el carácter “PIPE”</w:t>
      </w:r>
      <w:r w:rsidR="004B6E9D" w:rsidRPr="00EB78D2">
        <w:rPr>
          <w:rFonts w:ascii="Arial" w:hAnsi="Arial" w:cs="Arial"/>
          <w:sz w:val="24"/>
          <w:szCs w:val="24"/>
        </w:rPr>
        <w:t xml:space="preserve">, </w:t>
      </w:r>
      <w:r w:rsidR="002F1EA5" w:rsidRPr="00EB78D2">
        <w:rPr>
          <w:rFonts w:ascii="Arial" w:hAnsi="Arial" w:cs="Arial"/>
          <w:sz w:val="24"/>
          <w:szCs w:val="24"/>
        </w:rPr>
        <w:t xml:space="preserve">a través de los canales tecnológicos que serán dispuestos para el efecto y </w:t>
      </w:r>
      <w:r w:rsidRPr="00EB78D2">
        <w:rPr>
          <w:rFonts w:ascii="Arial" w:hAnsi="Arial" w:cs="Arial"/>
          <w:sz w:val="24"/>
          <w:szCs w:val="24"/>
        </w:rPr>
        <w:t>de conformidad con los siguientes parámetros: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5A7993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 xml:space="preserve">CAMPOS DE LA </w:t>
      </w:r>
      <w:r w:rsidR="00D102D9" w:rsidRPr="00EB78D2">
        <w:rPr>
          <w:rFonts w:ascii="Arial" w:hAnsi="Arial" w:cs="Arial"/>
          <w:sz w:val="24"/>
          <w:szCs w:val="24"/>
        </w:rPr>
        <w:t>INFORMACIÓ</w:t>
      </w:r>
      <w:r w:rsidR="00C823F2" w:rsidRPr="00EB78D2">
        <w:rPr>
          <w:rFonts w:ascii="Arial" w:hAnsi="Arial" w:cs="Arial"/>
          <w:sz w:val="24"/>
          <w:szCs w:val="24"/>
        </w:rPr>
        <w:t>N</w:t>
      </w:r>
      <w:r w:rsidRPr="00EB78D2">
        <w:rPr>
          <w:rFonts w:ascii="Arial" w:hAnsi="Arial" w:cs="Arial"/>
          <w:sz w:val="24"/>
          <w:szCs w:val="24"/>
        </w:rPr>
        <w:t xml:space="preserve"> </w:t>
      </w:r>
      <w:r w:rsidR="00C823F2" w:rsidRPr="00EB78D2">
        <w:rPr>
          <w:rFonts w:ascii="Arial" w:hAnsi="Arial" w:cs="Arial"/>
          <w:sz w:val="24"/>
          <w:szCs w:val="24"/>
        </w:rPr>
        <w:t xml:space="preserve">QUE DEBEN REPORTAR </w:t>
      </w:r>
      <w:r w:rsidRPr="00EB78D2">
        <w:rPr>
          <w:rFonts w:ascii="Arial" w:hAnsi="Arial" w:cs="Arial"/>
          <w:sz w:val="24"/>
          <w:szCs w:val="24"/>
        </w:rPr>
        <w:t>AL REGISTRO DE DATOS CREDITICIOS</w:t>
      </w:r>
      <w:r w:rsidR="00D102D9" w:rsidRPr="00EB78D2">
        <w:rPr>
          <w:rFonts w:ascii="Arial" w:hAnsi="Arial" w:cs="Arial"/>
          <w:sz w:val="24"/>
          <w:szCs w:val="24"/>
        </w:rPr>
        <w:t xml:space="preserve"> LAS COMPAÑÍAS QUE REALIZAN VENTAS A CRÉ</w:t>
      </w:r>
      <w:r w:rsidR="00C823F2" w:rsidRPr="00EB78D2">
        <w:rPr>
          <w:rFonts w:ascii="Arial" w:hAnsi="Arial" w:cs="Arial"/>
          <w:sz w:val="24"/>
          <w:szCs w:val="24"/>
        </w:rPr>
        <w:t>DITO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A7993" w:rsidRPr="00EB78D2" w:rsidRDefault="005A7993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6F01" w:rsidRPr="00EB78D2" w:rsidRDefault="00356F0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40" w:type="dxa"/>
        <w:jc w:val="center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3286"/>
        <w:gridCol w:w="2380"/>
        <w:gridCol w:w="2380"/>
      </w:tblGrid>
      <w:tr w:rsidR="00C823F2" w:rsidRPr="00EB78D2" w:rsidTr="00134965">
        <w:trPr>
          <w:trHeight w:val="300"/>
          <w:jc w:val="center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3F2" w:rsidRPr="00EB78D2" w:rsidRDefault="00C823F2" w:rsidP="005A79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Tabla 1: </w:t>
            </w:r>
            <w:r w:rsidR="005A7993" w:rsidRPr="00EB7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Campos de la información a reportar</w:t>
            </w:r>
          </w:p>
        </w:tc>
      </w:tr>
      <w:tr w:rsidR="00024871" w:rsidRPr="00EB78D2" w:rsidTr="002F1EA5">
        <w:trPr>
          <w:gridAfter w:val="1"/>
          <w:wAfter w:w="2380" w:type="dxa"/>
          <w:trHeight w:val="585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>No.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C"/>
              </w:rPr>
              <w:t>Campo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C"/>
              </w:rPr>
              <w:t>Tipo de dato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código de  entidad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(7)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fecha de datos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fecha (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dd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/mm/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aaaa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tipo de identificación del sujeto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(1)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identificación del sujeto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(13)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nombres y apellidos del sujeto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(50)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clase del sujeto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(1)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D16FE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p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rovincia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3B6D1A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antón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*parroquia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</w:t>
            </w:r>
            <w:r w:rsidR="00D16FE0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s</w:t>
            </w: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exo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(1)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*estado civil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(1)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*origen de ingresos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(1)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número de operación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(32)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valor de la operación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 xml:space="preserve">saldo operación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fecha de concesión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fecha (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dd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/mm/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aaaa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fecha de vencimiento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fecha (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dd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/mm/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aaaa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 xml:space="preserve">fecha </w:t>
            </w:r>
            <w:r w:rsidR="00800E14"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 xml:space="preserve">que </w:t>
            </w: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es exigible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B22064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fecha (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dd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/mm/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aaaa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plazo operación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(5)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periodicidad de pago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66051A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(5)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días de morosidad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(5)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monto de morosidad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monto de interés en mora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*valor por vencer de 1 a 30 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*valor por vencer de 31 a 90 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*valor por vencer de 91 a 180 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*valor por vencer de 181 a 360 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*valor por vencer de más de 360 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valor vencido de 1 a 30 días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valor vencido de 31 a 90 días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valor vencido de 91 a 180 días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valor vencido de  181 a 360 días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valor vencido de más de 360 días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valor en demanda judicial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cartera castigada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cuota del crédito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numérico (15,2)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 xml:space="preserve">*fecha de cancelación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fecha (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dd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/mm/</w:t>
            </w:r>
            <w:proofErr w:type="spellStart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aaaa</w:t>
            </w:r>
            <w:proofErr w:type="spellEnd"/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)</w:t>
            </w:r>
          </w:p>
        </w:tc>
      </w:tr>
      <w:tr w:rsidR="00024871" w:rsidRPr="00EB78D2" w:rsidTr="002F1EA5">
        <w:trPr>
          <w:gridAfter w:val="1"/>
          <w:wAfter w:w="2380" w:type="dxa"/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871" w:rsidRPr="00EB78D2" w:rsidRDefault="00024871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*forma de cancelación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871" w:rsidRPr="00EB78D2" w:rsidRDefault="00356950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carácter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 xml:space="preserve"> (</w:t>
            </w:r>
            <w:r w:rsidR="007843C0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1</w:t>
            </w:r>
            <w:r w:rsidR="00024871" w:rsidRPr="00EB78D2"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  <w:t>)</w:t>
            </w:r>
          </w:p>
        </w:tc>
      </w:tr>
      <w:tr w:rsidR="00C823F2" w:rsidRPr="00EB78D2" w:rsidTr="00C823F2">
        <w:trPr>
          <w:trHeight w:val="30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3F2" w:rsidRPr="00EB78D2" w:rsidRDefault="00766D8E" w:rsidP="00D102D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Los campos marcados con este carácter (*) no son obligatorios para el reporte de información histór</w:t>
            </w:r>
            <w:r w:rsidR="00D102D9"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ica establecida en el </w:t>
            </w:r>
            <w:r w:rsidRPr="00EB78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Art. 2 de la presente resolución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3F2" w:rsidRPr="00EB78D2" w:rsidRDefault="00C823F2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3F2" w:rsidRPr="00EB78D2" w:rsidRDefault="00C823F2" w:rsidP="00B46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</w:p>
        </w:tc>
      </w:tr>
    </w:tbl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Los campos señalados en el cuadro anterior serán definidos de acuerdo con lo siguiente: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1).- Código de la entidad.- </w:t>
      </w:r>
      <w:r w:rsidRPr="00EB78D2">
        <w:rPr>
          <w:rFonts w:ascii="Arial" w:hAnsi="Arial" w:cs="Arial"/>
          <w:sz w:val="24"/>
          <w:szCs w:val="24"/>
        </w:rPr>
        <w:t>Corresponde al código de la entidad, el mismo que será otorgado por la D</w:t>
      </w:r>
      <w:r w:rsidR="002F1EA5" w:rsidRPr="00EB78D2">
        <w:rPr>
          <w:rFonts w:ascii="Arial" w:hAnsi="Arial" w:cs="Arial"/>
          <w:sz w:val="24"/>
          <w:szCs w:val="24"/>
        </w:rPr>
        <w:t xml:space="preserve">irección Nacional de Registro de Datos Públicos </w:t>
      </w:r>
      <w:r w:rsidRPr="00EB78D2">
        <w:rPr>
          <w:rFonts w:ascii="Arial" w:hAnsi="Arial" w:cs="Arial"/>
          <w:sz w:val="24"/>
          <w:szCs w:val="24"/>
        </w:rPr>
        <w:t xml:space="preserve">mediante el proceso de </w:t>
      </w:r>
      <w:r w:rsidR="00B67C53" w:rsidRPr="00EB78D2">
        <w:rPr>
          <w:rFonts w:ascii="Arial" w:hAnsi="Arial" w:cs="Arial"/>
          <w:sz w:val="24"/>
          <w:szCs w:val="24"/>
        </w:rPr>
        <w:t>registro</w:t>
      </w:r>
      <w:r w:rsidR="005A7993" w:rsidRPr="00EB78D2">
        <w:rPr>
          <w:rFonts w:ascii="Arial" w:hAnsi="Arial" w:cs="Arial"/>
          <w:sz w:val="24"/>
          <w:szCs w:val="24"/>
        </w:rPr>
        <w:t xml:space="preserve"> </w:t>
      </w:r>
      <w:r w:rsidRPr="00EB78D2">
        <w:rPr>
          <w:rFonts w:ascii="Arial" w:hAnsi="Arial" w:cs="Arial"/>
          <w:sz w:val="24"/>
          <w:szCs w:val="24"/>
        </w:rPr>
        <w:t>de compañías que realicen ventas a crédito</w:t>
      </w:r>
      <w:r w:rsidR="005A7993" w:rsidRPr="00EB78D2">
        <w:rPr>
          <w:rFonts w:ascii="Arial" w:hAnsi="Arial" w:cs="Arial"/>
          <w:sz w:val="24"/>
          <w:szCs w:val="24"/>
        </w:rPr>
        <w:t xml:space="preserve">, conforme indica el </w:t>
      </w:r>
      <w:r w:rsidR="00B67C53" w:rsidRPr="00EB78D2">
        <w:rPr>
          <w:rFonts w:ascii="Arial" w:hAnsi="Arial" w:cs="Arial"/>
          <w:sz w:val="24"/>
          <w:szCs w:val="24"/>
        </w:rPr>
        <w:t>Art. 4</w:t>
      </w:r>
      <w:r w:rsidR="005A7993" w:rsidRPr="00EB78D2">
        <w:rPr>
          <w:rFonts w:ascii="Arial" w:hAnsi="Arial" w:cs="Arial"/>
          <w:sz w:val="24"/>
          <w:szCs w:val="24"/>
        </w:rPr>
        <w:t xml:space="preserve"> de la presente resolución</w:t>
      </w:r>
      <w:r w:rsidRPr="00EB78D2">
        <w:rPr>
          <w:rFonts w:ascii="Arial" w:hAnsi="Arial" w:cs="Arial"/>
          <w:sz w:val="24"/>
          <w:szCs w:val="24"/>
        </w:rPr>
        <w:t>.</w:t>
      </w:r>
    </w:p>
    <w:p w:rsidR="0013193B" w:rsidRPr="00EB78D2" w:rsidRDefault="0013193B" w:rsidP="00B4648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2).- Fecha de datos.- </w:t>
      </w:r>
      <w:r w:rsidRPr="00EB78D2">
        <w:rPr>
          <w:rFonts w:ascii="Arial" w:hAnsi="Arial" w:cs="Arial"/>
          <w:sz w:val="24"/>
          <w:szCs w:val="24"/>
        </w:rPr>
        <w:t>Consiste en la fecha de corte de la información crediticia.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>3).- Tipo de identificación del sujeto.-</w:t>
      </w:r>
      <w:r w:rsidRPr="00EB78D2">
        <w:rPr>
          <w:rFonts w:ascii="Arial" w:hAnsi="Arial" w:cs="Arial"/>
          <w:sz w:val="24"/>
          <w:szCs w:val="24"/>
        </w:rPr>
        <w:t xml:space="preserve"> Se refiere al tipo de documento de identificación del sujeto, puede ser “C” cédula, “R” RUC o “E” extranjeros.</w:t>
      </w:r>
    </w:p>
    <w:p w:rsidR="00C823F2" w:rsidRPr="00EB78D2" w:rsidRDefault="00C823F2" w:rsidP="00B464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2F1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4).- Identificación del sujeto.- </w:t>
      </w:r>
      <w:r w:rsidRPr="00EB78D2">
        <w:rPr>
          <w:rFonts w:ascii="Arial" w:hAnsi="Arial" w:cs="Arial"/>
          <w:sz w:val="24"/>
          <w:szCs w:val="24"/>
        </w:rPr>
        <w:t xml:space="preserve">Corresponde al número de identificación del sujeto. Para </w:t>
      </w:r>
      <w:r w:rsidR="004B6E9D" w:rsidRPr="00EB78D2">
        <w:rPr>
          <w:rFonts w:ascii="Arial" w:hAnsi="Arial" w:cs="Arial"/>
          <w:sz w:val="24"/>
          <w:szCs w:val="24"/>
        </w:rPr>
        <w:t xml:space="preserve">ciudadanos </w:t>
      </w:r>
      <w:r w:rsidRPr="00EB78D2">
        <w:rPr>
          <w:rFonts w:ascii="Arial" w:hAnsi="Arial" w:cs="Arial"/>
          <w:sz w:val="24"/>
          <w:szCs w:val="24"/>
        </w:rPr>
        <w:t>ecuatorian</w:t>
      </w:r>
      <w:r w:rsidR="002F1EA5" w:rsidRPr="00EB78D2">
        <w:rPr>
          <w:rFonts w:ascii="Arial" w:hAnsi="Arial" w:cs="Arial"/>
          <w:sz w:val="24"/>
          <w:szCs w:val="24"/>
        </w:rPr>
        <w:t>o</w:t>
      </w:r>
      <w:r w:rsidRPr="00EB78D2">
        <w:rPr>
          <w:rFonts w:ascii="Arial" w:hAnsi="Arial" w:cs="Arial"/>
          <w:sz w:val="24"/>
          <w:szCs w:val="24"/>
        </w:rPr>
        <w:t xml:space="preserve">s será el número de cédula, para personas jurídicas el número de </w:t>
      </w:r>
      <w:r w:rsidR="004B6E9D" w:rsidRPr="00EB78D2">
        <w:rPr>
          <w:rFonts w:ascii="Arial" w:hAnsi="Arial" w:cs="Arial"/>
          <w:sz w:val="24"/>
          <w:szCs w:val="24"/>
        </w:rPr>
        <w:t>RUC</w:t>
      </w:r>
      <w:r w:rsidRPr="00EB78D2">
        <w:rPr>
          <w:rFonts w:ascii="Arial" w:hAnsi="Arial" w:cs="Arial"/>
          <w:sz w:val="24"/>
          <w:szCs w:val="24"/>
        </w:rPr>
        <w:t xml:space="preserve">. Para los extranjeros debe reportarse el número de </w:t>
      </w:r>
      <w:r w:rsidR="005173EB" w:rsidRPr="00EB78D2">
        <w:rPr>
          <w:rFonts w:ascii="Arial" w:hAnsi="Arial" w:cs="Arial"/>
          <w:sz w:val="24"/>
          <w:szCs w:val="24"/>
        </w:rPr>
        <w:t>identificación utilizada para la operación de crédito</w:t>
      </w:r>
      <w:r w:rsidRPr="00EB78D2">
        <w:rPr>
          <w:rFonts w:ascii="Arial" w:hAnsi="Arial" w:cs="Arial"/>
          <w:sz w:val="24"/>
          <w:szCs w:val="24"/>
        </w:rPr>
        <w:t>.</w:t>
      </w:r>
      <w:r w:rsidR="004B6E9D" w:rsidRPr="00EB78D2">
        <w:rPr>
          <w:rFonts w:ascii="Arial" w:hAnsi="Arial" w:cs="Arial"/>
          <w:sz w:val="24"/>
          <w:szCs w:val="24"/>
        </w:rPr>
        <w:t xml:space="preserve"> </w:t>
      </w:r>
    </w:p>
    <w:p w:rsidR="002F1EA5" w:rsidRPr="00EB78D2" w:rsidRDefault="002F1EA5" w:rsidP="002F1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>5).- Nombre</w:t>
      </w:r>
      <w:r w:rsidR="004B6E9D" w:rsidRPr="00EB78D2">
        <w:rPr>
          <w:rFonts w:ascii="Arial" w:hAnsi="Arial" w:cs="Arial"/>
          <w:b/>
          <w:sz w:val="24"/>
          <w:szCs w:val="24"/>
        </w:rPr>
        <w:t>s</w:t>
      </w:r>
      <w:r w:rsidRPr="00EB78D2">
        <w:rPr>
          <w:rFonts w:ascii="Arial" w:hAnsi="Arial" w:cs="Arial"/>
          <w:b/>
          <w:sz w:val="24"/>
          <w:szCs w:val="24"/>
        </w:rPr>
        <w:t xml:space="preserve"> </w:t>
      </w:r>
      <w:r w:rsidR="004B6E9D" w:rsidRPr="00EB78D2">
        <w:rPr>
          <w:rFonts w:ascii="Arial" w:hAnsi="Arial" w:cs="Arial"/>
          <w:b/>
          <w:sz w:val="24"/>
          <w:szCs w:val="24"/>
        </w:rPr>
        <w:t xml:space="preserve">y apellidos </w:t>
      </w:r>
      <w:r w:rsidRPr="00EB78D2">
        <w:rPr>
          <w:rFonts w:ascii="Arial" w:hAnsi="Arial" w:cs="Arial"/>
          <w:b/>
          <w:sz w:val="24"/>
          <w:szCs w:val="24"/>
        </w:rPr>
        <w:t xml:space="preserve">del sujeto.- </w:t>
      </w:r>
      <w:r w:rsidRPr="00EB78D2">
        <w:rPr>
          <w:rFonts w:ascii="Arial" w:hAnsi="Arial" w:cs="Arial"/>
          <w:sz w:val="24"/>
          <w:szCs w:val="24"/>
        </w:rPr>
        <w:t>Corresponde al nombre del sujeto o la razón social de la firma.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6).- Clase del sujeto.- </w:t>
      </w:r>
      <w:r w:rsidRPr="00EB78D2">
        <w:rPr>
          <w:rFonts w:ascii="Arial" w:hAnsi="Arial" w:cs="Arial"/>
          <w:sz w:val="24"/>
          <w:szCs w:val="24"/>
        </w:rPr>
        <w:t>Código que indica si el sujeto de crédito es persona “N” natural o “J” jurídica.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7).- Provincia.- </w:t>
      </w:r>
      <w:r w:rsidRPr="00EB78D2">
        <w:rPr>
          <w:rFonts w:ascii="Arial" w:hAnsi="Arial" w:cs="Arial"/>
          <w:sz w:val="24"/>
          <w:szCs w:val="24"/>
        </w:rPr>
        <w:t>Corresponde a la provincia de residencia del sujeto de crédito.</w:t>
      </w:r>
      <w:r w:rsidR="009F43AD" w:rsidRPr="00EB78D2">
        <w:rPr>
          <w:rFonts w:ascii="Arial" w:hAnsi="Arial" w:cs="Arial"/>
          <w:sz w:val="24"/>
          <w:szCs w:val="24"/>
        </w:rPr>
        <w:t xml:space="preserve"> Deberá utilizarse la división </w:t>
      </w:r>
      <w:proofErr w:type="gramStart"/>
      <w:r w:rsidR="0013193B" w:rsidRPr="00EB78D2">
        <w:rPr>
          <w:rFonts w:ascii="Arial" w:hAnsi="Arial" w:cs="Arial"/>
          <w:sz w:val="24"/>
          <w:szCs w:val="24"/>
        </w:rPr>
        <w:t>político</w:t>
      </w:r>
      <w:proofErr w:type="gramEnd"/>
      <w:r w:rsidR="009F43AD" w:rsidRPr="00EB78D2">
        <w:rPr>
          <w:rFonts w:ascii="Arial" w:hAnsi="Arial" w:cs="Arial"/>
          <w:sz w:val="24"/>
          <w:szCs w:val="24"/>
        </w:rPr>
        <w:t xml:space="preserve"> administrativa emitida por el INEC.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8).- Cantón.- </w:t>
      </w:r>
      <w:r w:rsidRPr="00EB78D2">
        <w:rPr>
          <w:rFonts w:ascii="Arial" w:hAnsi="Arial" w:cs="Arial"/>
          <w:sz w:val="24"/>
          <w:szCs w:val="24"/>
        </w:rPr>
        <w:t>Corresponde al cantón de residencia del sujeto de crédito.</w:t>
      </w:r>
      <w:r w:rsidR="009F43AD" w:rsidRPr="00EB78D2">
        <w:rPr>
          <w:rFonts w:ascii="Arial" w:hAnsi="Arial" w:cs="Arial"/>
          <w:sz w:val="24"/>
          <w:szCs w:val="24"/>
        </w:rPr>
        <w:t xml:space="preserve"> Deberá utilizarse la división </w:t>
      </w:r>
      <w:proofErr w:type="gramStart"/>
      <w:r w:rsidR="009F43AD" w:rsidRPr="00EB78D2">
        <w:rPr>
          <w:rFonts w:ascii="Arial" w:hAnsi="Arial" w:cs="Arial"/>
          <w:sz w:val="24"/>
          <w:szCs w:val="24"/>
        </w:rPr>
        <w:t>político</w:t>
      </w:r>
      <w:proofErr w:type="gramEnd"/>
      <w:r w:rsidR="009F43AD" w:rsidRPr="00EB78D2">
        <w:rPr>
          <w:rFonts w:ascii="Arial" w:hAnsi="Arial" w:cs="Arial"/>
          <w:sz w:val="24"/>
          <w:szCs w:val="24"/>
        </w:rPr>
        <w:t xml:space="preserve"> administrativa emitida por el INEC.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9).- Parroquia.- </w:t>
      </w:r>
      <w:r w:rsidRPr="00EB78D2">
        <w:rPr>
          <w:rFonts w:ascii="Arial" w:hAnsi="Arial" w:cs="Arial"/>
          <w:sz w:val="24"/>
          <w:szCs w:val="24"/>
        </w:rPr>
        <w:t>Corresponde a la parroquia de residencia del sujeto de crédito.</w:t>
      </w:r>
      <w:r w:rsidR="00A170F3" w:rsidRPr="00EB78D2">
        <w:rPr>
          <w:rFonts w:ascii="Arial" w:hAnsi="Arial" w:cs="Arial"/>
          <w:sz w:val="24"/>
          <w:szCs w:val="24"/>
        </w:rPr>
        <w:t xml:space="preserve"> Deberá utilizarse la </w:t>
      </w:r>
      <w:r w:rsidR="009F43AD" w:rsidRPr="00EB78D2">
        <w:rPr>
          <w:rFonts w:ascii="Arial" w:hAnsi="Arial" w:cs="Arial"/>
          <w:sz w:val="24"/>
          <w:szCs w:val="24"/>
        </w:rPr>
        <w:t xml:space="preserve">división </w:t>
      </w:r>
      <w:proofErr w:type="gramStart"/>
      <w:r w:rsidR="009F43AD" w:rsidRPr="00EB78D2">
        <w:rPr>
          <w:rFonts w:ascii="Arial" w:hAnsi="Arial" w:cs="Arial"/>
          <w:sz w:val="24"/>
          <w:szCs w:val="24"/>
        </w:rPr>
        <w:t>político</w:t>
      </w:r>
      <w:proofErr w:type="gramEnd"/>
      <w:r w:rsidR="009F43AD" w:rsidRPr="00EB78D2">
        <w:rPr>
          <w:rFonts w:ascii="Arial" w:hAnsi="Arial" w:cs="Arial"/>
          <w:sz w:val="24"/>
          <w:szCs w:val="24"/>
        </w:rPr>
        <w:t xml:space="preserve"> administrativa emitida por el INEC</w:t>
      </w:r>
      <w:r w:rsidR="00A170F3" w:rsidRPr="00EB78D2">
        <w:rPr>
          <w:rFonts w:ascii="Arial" w:hAnsi="Arial" w:cs="Arial"/>
          <w:sz w:val="24"/>
          <w:szCs w:val="24"/>
        </w:rPr>
        <w:t>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10).- Sexo del sujeto.- </w:t>
      </w:r>
      <w:r w:rsidRPr="00EB78D2">
        <w:rPr>
          <w:rFonts w:ascii="Arial" w:hAnsi="Arial" w:cs="Arial"/>
          <w:sz w:val="24"/>
          <w:szCs w:val="24"/>
        </w:rPr>
        <w:t xml:space="preserve">Corresponde al sexo del sujeto de crédito y sus categorías son “M” masculino y “F” femenino. 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11).- Estado civil del sujeto.- </w:t>
      </w:r>
      <w:r w:rsidRPr="00EB78D2">
        <w:rPr>
          <w:rFonts w:ascii="Arial" w:hAnsi="Arial" w:cs="Arial"/>
          <w:sz w:val="24"/>
          <w:szCs w:val="24"/>
        </w:rPr>
        <w:t xml:space="preserve">Corresponde al estado civil del sujeto de crédito y sus categorías son “S” soltero, “C” casado, </w:t>
      </w:r>
      <w:r w:rsidR="004B6E9D" w:rsidRPr="00EB78D2">
        <w:rPr>
          <w:rFonts w:ascii="Arial" w:hAnsi="Arial" w:cs="Arial"/>
          <w:sz w:val="24"/>
          <w:szCs w:val="24"/>
        </w:rPr>
        <w:t>“D” divorciado, “U” unión libre</w:t>
      </w:r>
      <w:r w:rsidRPr="00EB78D2">
        <w:rPr>
          <w:rFonts w:ascii="Arial" w:hAnsi="Arial" w:cs="Arial"/>
          <w:sz w:val="24"/>
          <w:szCs w:val="24"/>
        </w:rPr>
        <w:t xml:space="preserve"> y “V” viudo. 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12).- Origen de ingresos.- </w:t>
      </w:r>
      <w:r w:rsidRPr="00EB78D2">
        <w:rPr>
          <w:rFonts w:ascii="Arial" w:hAnsi="Arial" w:cs="Arial"/>
          <w:sz w:val="24"/>
          <w:szCs w:val="24"/>
        </w:rPr>
        <w:t xml:space="preserve">Es el código que indica de donde provienen principalmente los ingresos del sujeto y sus categorías son “B” empleado público, “V” empleado privado, “I” independiente, “A” ama de casa o estudiante, “R” rentista, “H” jubilado y “M” remesas del exterior. 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13).- Número de operación.- </w:t>
      </w:r>
      <w:r w:rsidRPr="00EB78D2">
        <w:rPr>
          <w:rFonts w:ascii="Arial" w:hAnsi="Arial" w:cs="Arial"/>
          <w:sz w:val="24"/>
          <w:szCs w:val="24"/>
        </w:rPr>
        <w:t>Código único con el que la firma identifica a cada operación que efectúa.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14).- Valor de operación.- </w:t>
      </w:r>
      <w:r w:rsidRPr="00EB78D2">
        <w:rPr>
          <w:rFonts w:ascii="Arial" w:hAnsi="Arial" w:cs="Arial"/>
          <w:sz w:val="24"/>
          <w:szCs w:val="24"/>
        </w:rPr>
        <w:t>Corresponde al monto total de crédito otorgado.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15).- Saldo de operación.- </w:t>
      </w:r>
      <w:r w:rsidRPr="00EB78D2">
        <w:rPr>
          <w:rFonts w:ascii="Arial" w:hAnsi="Arial" w:cs="Arial"/>
          <w:sz w:val="24"/>
          <w:szCs w:val="24"/>
        </w:rPr>
        <w:t>Corresponde al remanente del crédito en el mes de reporte  de información.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16).- Fecha de concesión.- </w:t>
      </w:r>
      <w:r w:rsidRPr="00EB78D2">
        <w:rPr>
          <w:rFonts w:ascii="Arial" w:hAnsi="Arial" w:cs="Arial"/>
          <w:sz w:val="24"/>
          <w:szCs w:val="24"/>
        </w:rPr>
        <w:t>Corresponde a la fecha en la que se otorga el crédito.</w:t>
      </w:r>
    </w:p>
    <w:p w:rsidR="00C823F2" w:rsidRPr="00EB78D2" w:rsidRDefault="00C823F2" w:rsidP="00B4648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17).- Fecha de vencimiento.- </w:t>
      </w:r>
      <w:r w:rsidRPr="00EB78D2">
        <w:rPr>
          <w:rFonts w:ascii="Arial" w:hAnsi="Arial" w:cs="Arial"/>
          <w:sz w:val="24"/>
          <w:szCs w:val="24"/>
        </w:rPr>
        <w:t>Corresponde a la fecha en la que termina la obligación crediticia.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18).- Fecha que es exigible.- </w:t>
      </w:r>
      <w:r w:rsidRPr="00EB78D2">
        <w:rPr>
          <w:rFonts w:ascii="Arial" w:hAnsi="Arial" w:cs="Arial"/>
          <w:sz w:val="24"/>
          <w:szCs w:val="24"/>
        </w:rPr>
        <w:t>Corresponde a la fecha en la que se exige el pago de la cuota.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19).- Plazo.- </w:t>
      </w:r>
      <w:r w:rsidRPr="00EB78D2">
        <w:rPr>
          <w:rFonts w:ascii="Arial" w:hAnsi="Arial" w:cs="Arial"/>
          <w:sz w:val="24"/>
          <w:szCs w:val="24"/>
        </w:rPr>
        <w:t>Corresponde al total de días que dura la relación crediticia.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20).- Periodicidad.- </w:t>
      </w:r>
      <w:r w:rsidRPr="00EB78D2">
        <w:rPr>
          <w:rFonts w:ascii="Arial" w:hAnsi="Arial" w:cs="Arial"/>
          <w:sz w:val="24"/>
          <w:szCs w:val="24"/>
        </w:rPr>
        <w:t xml:space="preserve">Indica la periodicidad con la que el sujeto deberá realizar los pagos del crédito. 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21).- Días de morosidad.- </w:t>
      </w:r>
      <w:r w:rsidRPr="00EB78D2">
        <w:rPr>
          <w:rFonts w:ascii="Arial" w:hAnsi="Arial" w:cs="Arial"/>
          <w:sz w:val="24"/>
          <w:szCs w:val="24"/>
        </w:rPr>
        <w:t>Es el total de días que no se ha cancelado la obligación desde su fecha de vencimiento.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22).- Monto de morosidad.- </w:t>
      </w:r>
      <w:r w:rsidRPr="00EB78D2">
        <w:rPr>
          <w:rFonts w:ascii="Arial" w:hAnsi="Arial" w:cs="Arial"/>
          <w:sz w:val="24"/>
          <w:szCs w:val="24"/>
        </w:rPr>
        <w:t>Es el monto del crédito que se encuentra en mora.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23).- Monto de interés en mora.- </w:t>
      </w:r>
      <w:r w:rsidRPr="00EB78D2">
        <w:rPr>
          <w:rFonts w:ascii="Arial" w:hAnsi="Arial" w:cs="Arial"/>
          <w:sz w:val="24"/>
          <w:szCs w:val="24"/>
        </w:rPr>
        <w:t>Valor del interés por el monto que se encuentra en mora.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24).- Valor por vencer de 1 a 30 días.- </w:t>
      </w:r>
      <w:r w:rsidRPr="00EB78D2">
        <w:rPr>
          <w:rFonts w:ascii="Arial" w:hAnsi="Arial" w:cs="Arial"/>
          <w:sz w:val="24"/>
          <w:szCs w:val="24"/>
        </w:rPr>
        <w:t>Saldo por vencer de la operación de 1 a 30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25).- Valor por vencer de 31 a 90 días.- </w:t>
      </w:r>
      <w:r w:rsidRPr="00EB78D2">
        <w:rPr>
          <w:rFonts w:ascii="Arial" w:hAnsi="Arial" w:cs="Arial"/>
          <w:sz w:val="24"/>
          <w:szCs w:val="24"/>
        </w:rPr>
        <w:t>Saldo por vencer de la operación de 31 a 90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26).- Valor por vencer de 91 a 180 días.- </w:t>
      </w:r>
      <w:r w:rsidRPr="00EB78D2">
        <w:rPr>
          <w:rFonts w:ascii="Arial" w:hAnsi="Arial" w:cs="Arial"/>
          <w:sz w:val="24"/>
          <w:szCs w:val="24"/>
        </w:rPr>
        <w:t>Saldo por vencer de la operación de 91 a 180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27).- Valor por vencer de 181 a 360 días.- </w:t>
      </w:r>
      <w:r w:rsidRPr="00EB78D2">
        <w:rPr>
          <w:rFonts w:ascii="Arial" w:hAnsi="Arial" w:cs="Arial"/>
          <w:sz w:val="24"/>
          <w:szCs w:val="24"/>
        </w:rPr>
        <w:t>Saldo por vencer de la operación de 181 a 360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28).- Valor por vencer de más de 360 días.- </w:t>
      </w:r>
      <w:r w:rsidRPr="00EB78D2">
        <w:rPr>
          <w:rFonts w:ascii="Arial" w:hAnsi="Arial" w:cs="Arial"/>
          <w:sz w:val="24"/>
          <w:szCs w:val="24"/>
        </w:rPr>
        <w:t>Saldo por vencer de la operación de más de 360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29).- Valor vencido de 1 a 30 días.- </w:t>
      </w:r>
      <w:r w:rsidRPr="00EB78D2">
        <w:rPr>
          <w:rFonts w:ascii="Arial" w:hAnsi="Arial" w:cs="Arial"/>
          <w:sz w:val="24"/>
          <w:szCs w:val="24"/>
        </w:rPr>
        <w:t>Saldo vencido de la operación de 1 a 30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30).- Valor vencido de 31 a 90 días.- </w:t>
      </w:r>
      <w:r w:rsidRPr="00EB78D2">
        <w:rPr>
          <w:rFonts w:ascii="Arial" w:hAnsi="Arial" w:cs="Arial"/>
          <w:sz w:val="24"/>
          <w:szCs w:val="24"/>
        </w:rPr>
        <w:t>Saldo vencido de la operación de 31 a 90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31).- Valor vencido de 91 a 180 días.- </w:t>
      </w:r>
      <w:r w:rsidRPr="00EB78D2">
        <w:rPr>
          <w:rFonts w:ascii="Arial" w:hAnsi="Arial" w:cs="Arial"/>
          <w:sz w:val="24"/>
          <w:szCs w:val="24"/>
        </w:rPr>
        <w:t>Saldo vencido de la operación de 91 a 180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OLE_LINK1"/>
      <w:r w:rsidRPr="00EB78D2">
        <w:rPr>
          <w:rFonts w:ascii="Arial" w:hAnsi="Arial" w:cs="Arial"/>
          <w:b/>
          <w:sz w:val="24"/>
          <w:szCs w:val="24"/>
        </w:rPr>
        <w:t xml:space="preserve">32).- Valor vencido de 181 a 360 días.- </w:t>
      </w:r>
      <w:r w:rsidRPr="00EB78D2">
        <w:rPr>
          <w:rFonts w:ascii="Arial" w:hAnsi="Arial" w:cs="Arial"/>
          <w:sz w:val="24"/>
          <w:szCs w:val="24"/>
        </w:rPr>
        <w:t>Saldo vencido de la operación de 181 a 360 días.</w:t>
      </w:r>
    </w:p>
    <w:bookmarkEnd w:id="1"/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33).- Valor vencido de más de 360 días.- </w:t>
      </w:r>
      <w:r w:rsidRPr="00EB78D2">
        <w:rPr>
          <w:rFonts w:ascii="Arial" w:hAnsi="Arial" w:cs="Arial"/>
          <w:sz w:val="24"/>
          <w:szCs w:val="24"/>
        </w:rPr>
        <w:t>Saldo vencido de la operación de más de 360 días.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34).- Valor en demanda judicial.- </w:t>
      </w:r>
      <w:r w:rsidRPr="00EB78D2">
        <w:rPr>
          <w:rFonts w:ascii="Arial" w:hAnsi="Arial" w:cs="Arial"/>
          <w:sz w:val="24"/>
          <w:szCs w:val="24"/>
        </w:rPr>
        <w:t>Monto por el que el deudor ha sido demandado judicialmente en la operación.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35).- Cartera castigada.- </w:t>
      </w:r>
      <w:r w:rsidRPr="00EB78D2">
        <w:rPr>
          <w:rFonts w:ascii="Arial" w:hAnsi="Arial" w:cs="Arial"/>
          <w:sz w:val="24"/>
          <w:szCs w:val="24"/>
        </w:rPr>
        <w:t xml:space="preserve">Indica el monto por el cual consta el deudor como sujeto de crédito castigado.  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36).- Cuota del crédito.- </w:t>
      </w:r>
      <w:r w:rsidRPr="00EB78D2">
        <w:rPr>
          <w:rFonts w:ascii="Arial" w:hAnsi="Arial" w:cs="Arial"/>
          <w:sz w:val="24"/>
          <w:szCs w:val="24"/>
        </w:rPr>
        <w:t xml:space="preserve">Es el monto del dividendo registrado en la tabla de amortización.  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37).- Fecha de cancelación.- </w:t>
      </w:r>
      <w:r w:rsidRPr="00EB78D2">
        <w:rPr>
          <w:rFonts w:ascii="Arial" w:hAnsi="Arial" w:cs="Arial"/>
          <w:sz w:val="24"/>
          <w:szCs w:val="24"/>
        </w:rPr>
        <w:t xml:space="preserve">Corresponde a la fecha en la </w:t>
      </w:r>
      <w:r w:rsidR="00D102D9" w:rsidRPr="00EB78D2">
        <w:rPr>
          <w:rFonts w:ascii="Arial" w:hAnsi="Arial" w:cs="Arial"/>
          <w:sz w:val="24"/>
          <w:szCs w:val="24"/>
        </w:rPr>
        <w:t>que se canceló la cuota del perí</w:t>
      </w:r>
      <w:r w:rsidRPr="00EB78D2">
        <w:rPr>
          <w:rFonts w:ascii="Arial" w:hAnsi="Arial" w:cs="Arial"/>
          <w:sz w:val="24"/>
          <w:szCs w:val="24"/>
        </w:rPr>
        <w:t>odo.</w:t>
      </w: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b/>
          <w:sz w:val="24"/>
          <w:szCs w:val="24"/>
        </w:rPr>
        <w:t xml:space="preserve">38).- Forma de cancelación.- </w:t>
      </w:r>
      <w:r w:rsidRPr="00EB78D2">
        <w:rPr>
          <w:rFonts w:ascii="Arial" w:hAnsi="Arial" w:cs="Arial"/>
          <w:sz w:val="24"/>
          <w:szCs w:val="24"/>
        </w:rPr>
        <w:t>Corresponde a la forma de cancelación de la cuota en el período de recolección de la información y sus categorías son “E” efectivo, “C” cheque y “T” tarjeta de crédito.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Las compañías referidas en el primer inciso de este artículo deberán asimismo suministrar a la Superintendencia de Compañías información global y consolidada sobre dichas operaciones, de acuerdo con lo establecido en el REGLAMENTO PAR</w:t>
      </w:r>
      <w:r w:rsidR="00D102D9" w:rsidRPr="00EB78D2">
        <w:rPr>
          <w:rFonts w:ascii="Arial" w:hAnsi="Arial" w:cs="Arial"/>
          <w:sz w:val="24"/>
          <w:szCs w:val="24"/>
        </w:rPr>
        <w:t>A EL CONTROL DE LAS VENTAS A CRÉDITO Y DE LA EMISIÓ</w:t>
      </w:r>
      <w:r w:rsidR="0013193B" w:rsidRPr="00EB78D2">
        <w:rPr>
          <w:rFonts w:ascii="Arial" w:hAnsi="Arial" w:cs="Arial"/>
          <w:sz w:val="24"/>
          <w:szCs w:val="24"/>
        </w:rPr>
        <w:t>N DE TARJETAS DE CIRCULACIÓ</w:t>
      </w:r>
      <w:r w:rsidRPr="00EB78D2">
        <w:rPr>
          <w:rFonts w:ascii="Arial" w:hAnsi="Arial" w:cs="Arial"/>
          <w:sz w:val="24"/>
          <w:szCs w:val="24"/>
        </w:rPr>
        <w:t>N RESTRINGIDA, POR PARTE DE LAS C</w:t>
      </w:r>
      <w:r w:rsidR="0013193B" w:rsidRPr="00EB78D2">
        <w:rPr>
          <w:rFonts w:ascii="Arial" w:hAnsi="Arial" w:cs="Arial"/>
          <w:sz w:val="24"/>
          <w:szCs w:val="24"/>
        </w:rPr>
        <w:t>OMPAÑIAS SUJETAS A LA SUPERVISIÓ</w:t>
      </w:r>
      <w:r w:rsidRPr="00EB78D2">
        <w:rPr>
          <w:rFonts w:ascii="Arial" w:hAnsi="Arial" w:cs="Arial"/>
          <w:sz w:val="24"/>
          <w:szCs w:val="24"/>
        </w:rPr>
        <w:t>N D</w:t>
      </w:r>
      <w:r w:rsidR="0013193B" w:rsidRPr="00EB78D2">
        <w:rPr>
          <w:rFonts w:ascii="Arial" w:hAnsi="Arial" w:cs="Arial"/>
          <w:sz w:val="24"/>
          <w:szCs w:val="24"/>
        </w:rPr>
        <w:t>E LA SUPERINTENDENCIA DE COMPAÑÍ</w:t>
      </w:r>
      <w:r w:rsidRPr="00EB78D2">
        <w:rPr>
          <w:rFonts w:ascii="Arial" w:hAnsi="Arial" w:cs="Arial"/>
          <w:sz w:val="24"/>
          <w:szCs w:val="24"/>
        </w:rPr>
        <w:t>AS.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16FE0" w:rsidRPr="00EB78D2" w:rsidRDefault="00C823F2" w:rsidP="00D16FE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78D2">
        <w:rPr>
          <w:rFonts w:ascii="Arial" w:hAnsi="Arial" w:cs="Arial"/>
          <w:sz w:val="24"/>
          <w:szCs w:val="24"/>
        </w:rPr>
        <w:t>Art. 2.-</w:t>
      </w:r>
      <w:r w:rsidR="002F1EA5" w:rsidRPr="00EB78D2">
        <w:rPr>
          <w:rFonts w:ascii="Arial" w:hAnsi="Arial" w:cs="Arial"/>
          <w:sz w:val="24"/>
          <w:szCs w:val="24"/>
        </w:rPr>
        <w:t xml:space="preserve"> </w:t>
      </w:r>
      <w:r w:rsidR="00D16FE0" w:rsidRPr="00EB78D2">
        <w:rPr>
          <w:rFonts w:ascii="Arial" w:hAnsi="Arial" w:cs="Arial"/>
          <w:sz w:val="24"/>
          <w:szCs w:val="24"/>
        </w:rPr>
        <w:t xml:space="preserve">Las compañías sujetas a la supervisión y control de la Superintendencia de Compañías deberán entregar a la </w:t>
      </w:r>
      <w:r w:rsidR="00D16FE0" w:rsidRPr="00EB78D2">
        <w:rPr>
          <w:rFonts w:ascii="Arial" w:hAnsi="Arial" w:cs="Arial"/>
          <w:sz w:val="24"/>
          <w:szCs w:val="24"/>
          <w:lang w:val="es-ES"/>
        </w:rPr>
        <w:t xml:space="preserve">Dirección Nacional del Registro de Datos Públicos la información de cada una de las operaciones crediticias activas durante los últimos 3 años al 12 de diciembre del 2012, conforme al </w:t>
      </w:r>
      <w:r w:rsidR="00C73F82" w:rsidRPr="00EB78D2">
        <w:rPr>
          <w:rFonts w:ascii="Arial" w:hAnsi="Arial" w:cs="Arial"/>
          <w:sz w:val="24"/>
          <w:szCs w:val="24"/>
          <w:lang w:val="es-ES"/>
        </w:rPr>
        <w:t>A</w:t>
      </w:r>
      <w:r w:rsidR="00D16FE0" w:rsidRPr="00EB78D2">
        <w:rPr>
          <w:rFonts w:ascii="Arial" w:hAnsi="Arial" w:cs="Arial"/>
          <w:sz w:val="24"/>
          <w:szCs w:val="24"/>
          <w:lang w:val="es-ES"/>
        </w:rPr>
        <w:t xml:space="preserve">rt. 1 de la presente </w:t>
      </w:r>
      <w:r w:rsidR="006E46D4" w:rsidRPr="00EB78D2">
        <w:rPr>
          <w:rFonts w:ascii="Arial" w:hAnsi="Arial" w:cs="Arial"/>
          <w:sz w:val="24"/>
          <w:szCs w:val="24"/>
          <w:lang w:val="es-ES"/>
        </w:rPr>
        <w:t>r</w:t>
      </w:r>
      <w:r w:rsidR="00D16FE0" w:rsidRPr="00EB78D2">
        <w:rPr>
          <w:rFonts w:ascii="Arial" w:hAnsi="Arial" w:cs="Arial"/>
          <w:sz w:val="24"/>
          <w:szCs w:val="24"/>
          <w:lang w:val="es-ES"/>
        </w:rPr>
        <w:t xml:space="preserve">esolución, </w:t>
      </w:r>
      <w:r w:rsidR="00C73F82" w:rsidRPr="00EB78D2">
        <w:rPr>
          <w:rFonts w:ascii="Arial" w:hAnsi="Arial" w:cs="Arial"/>
          <w:sz w:val="24"/>
          <w:szCs w:val="24"/>
          <w:lang w:val="es-ES"/>
        </w:rPr>
        <w:t xml:space="preserve">en cumplimiento de </w:t>
      </w:r>
      <w:r w:rsidR="00D16FE0" w:rsidRPr="00EB78D2">
        <w:rPr>
          <w:rFonts w:ascii="Arial" w:hAnsi="Arial" w:cs="Arial"/>
          <w:sz w:val="24"/>
          <w:szCs w:val="24"/>
          <w:lang w:val="es-ES"/>
        </w:rPr>
        <w:t>la disposición</w:t>
      </w:r>
      <w:r w:rsidR="008F2916" w:rsidRPr="00EB78D2">
        <w:rPr>
          <w:rFonts w:ascii="Arial" w:hAnsi="Arial" w:cs="Arial"/>
          <w:sz w:val="24"/>
          <w:szCs w:val="24"/>
          <w:lang w:val="es-ES"/>
        </w:rPr>
        <w:t xml:space="preserve"> </w:t>
      </w:r>
      <w:r w:rsidR="00FE5889" w:rsidRPr="00EB78D2">
        <w:rPr>
          <w:rFonts w:ascii="Arial" w:hAnsi="Arial" w:cs="Arial"/>
          <w:sz w:val="24"/>
          <w:szCs w:val="24"/>
          <w:lang w:val="es-ES"/>
        </w:rPr>
        <w:t>transitoria</w:t>
      </w:r>
      <w:r w:rsidR="00D16FE0" w:rsidRPr="00EB78D2">
        <w:rPr>
          <w:rFonts w:ascii="Arial" w:hAnsi="Arial" w:cs="Arial"/>
          <w:sz w:val="24"/>
          <w:szCs w:val="24"/>
          <w:lang w:val="es-ES"/>
        </w:rPr>
        <w:t xml:space="preserve"> </w:t>
      </w:r>
      <w:r w:rsidR="00F1017C" w:rsidRPr="00EB78D2">
        <w:rPr>
          <w:rFonts w:ascii="Arial" w:hAnsi="Arial" w:cs="Arial"/>
          <w:sz w:val="24"/>
          <w:szCs w:val="24"/>
          <w:lang w:val="es-ES"/>
        </w:rPr>
        <w:t xml:space="preserve">quinta de la </w:t>
      </w:r>
      <w:r w:rsidR="00F1017C" w:rsidRPr="00EB78D2">
        <w:rPr>
          <w:rFonts w:ascii="Arial" w:hAnsi="Arial" w:cs="Arial"/>
          <w:sz w:val="24"/>
          <w:szCs w:val="24"/>
        </w:rPr>
        <w:t>Ley Orgánica Derogatoria a la Ley de Bur</w:t>
      </w:r>
      <w:r w:rsidR="008563CB" w:rsidRPr="00EB78D2">
        <w:rPr>
          <w:rFonts w:ascii="Arial" w:hAnsi="Arial" w:cs="Arial"/>
          <w:sz w:val="24"/>
          <w:szCs w:val="24"/>
        </w:rPr>
        <w:t>ó</w:t>
      </w:r>
      <w:r w:rsidR="00F1017C" w:rsidRPr="00EB78D2">
        <w:rPr>
          <w:rFonts w:ascii="Arial" w:hAnsi="Arial" w:cs="Arial"/>
          <w:sz w:val="24"/>
          <w:szCs w:val="24"/>
        </w:rPr>
        <w:t>s de Información Crediticia y Reformatoria a la Ley del Sistema Nacional del Registro de Datos Públicos, a la Ley Orgánica de la Economía Popular y Solidaria y del Sector Financiero Popular y Solidario y a la Ley de Compañías.</w:t>
      </w:r>
    </w:p>
    <w:p w:rsidR="00D16FE0" w:rsidRPr="00EB78D2" w:rsidRDefault="00D16FE0" w:rsidP="00D16FE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C823F2" w:rsidRPr="00EB78D2" w:rsidRDefault="00D16FE0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  <w:lang w:val="es-ES"/>
        </w:rPr>
        <w:t xml:space="preserve">Art. 3.- </w:t>
      </w:r>
      <w:r w:rsidR="00AC180C" w:rsidRPr="00EB78D2">
        <w:rPr>
          <w:rFonts w:ascii="Arial" w:hAnsi="Arial" w:cs="Arial"/>
          <w:sz w:val="24"/>
          <w:szCs w:val="24"/>
          <w:lang w:val="es-ES"/>
        </w:rPr>
        <w:t xml:space="preserve">Las </w:t>
      </w:r>
      <w:r w:rsidRPr="00EB78D2">
        <w:rPr>
          <w:rFonts w:ascii="Arial" w:hAnsi="Arial" w:cs="Arial"/>
          <w:sz w:val="24"/>
          <w:szCs w:val="24"/>
          <w:lang w:val="es-ES"/>
        </w:rPr>
        <w:t>operaciones individu</w:t>
      </w:r>
      <w:r w:rsidR="00AC180C" w:rsidRPr="00EB78D2">
        <w:rPr>
          <w:rFonts w:ascii="Arial" w:hAnsi="Arial" w:cs="Arial"/>
          <w:sz w:val="24"/>
          <w:szCs w:val="24"/>
          <w:lang w:val="es-ES"/>
        </w:rPr>
        <w:t xml:space="preserve">ales que sean </w:t>
      </w:r>
      <w:r w:rsidR="001F188F" w:rsidRPr="00EB78D2">
        <w:rPr>
          <w:rFonts w:ascii="Arial" w:hAnsi="Arial" w:cs="Arial"/>
          <w:sz w:val="24"/>
          <w:szCs w:val="24"/>
          <w:lang w:val="es-ES"/>
        </w:rPr>
        <w:t xml:space="preserve">inferiores a 0.15 veces de un salario básico unificado para los trabajadores del sector privado </w:t>
      </w:r>
      <w:r w:rsidR="00AC180C" w:rsidRPr="00EB78D2">
        <w:rPr>
          <w:rFonts w:ascii="Arial" w:hAnsi="Arial" w:cs="Arial"/>
          <w:sz w:val="24"/>
          <w:szCs w:val="24"/>
          <w:lang w:val="es-ES"/>
        </w:rPr>
        <w:t xml:space="preserve">no deberán ser reportadas, </w:t>
      </w:r>
      <w:r w:rsidR="001F188F" w:rsidRPr="00EB78D2">
        <w:rPr>
          <w:rFonts w:ascii="Arial" w:hAnsi="Arial" w:cs="Arial"/>
          <w:sz w:val="24"/>
          <w:szCs w:val="24"/>
          <w:lang w:val="es-ES"/>
        </w:rPr>
        <w:t>en concordancia con l</w:t>
      </w:r>
      <w:r w:rsidR="00C823F2" w:rsidRPr="00EB78D2">
        <w:rPr>
          <w:rFonts w:ascii="Arial" w:hAnsi="Arial" w:cs="Arial"/>
          <w:sz w:val="24"/>
          <w:szCs w:val="24"/>
        </w:rPr>
        <w:t xml:space="preserve">o previsto en el </w:t>
      </w:r>
      <w:r w:rsidR="000D169B" w:rsidRPr="00EB78D2">
        <w:rPr>
          <w:rFonts w:ascii="Arial" w:hAnsi="Arial" w:cs="Arial"/>
          <w:sz w:val="24"/>
          <w:szCs w:val="24"/>
        </w:rPr>
        <w:t>inciso</w:t>
      </w:r>
      <w:r w:rsidR="00C823F2" w:rsidRPr="00EB78D2">
        <w:rPr>
          <w:rFonts w:ascii="Arial" w:hAnsi="Arial" w:cs="Arial"/>
          <w:sz w:val="24"/>
          <w:szCs w:val="24"/>
        </w:rPr>
        <w:t xml:space="preserve"> sexto del primer artículo innumerado de la Sección II "Del Manej</w:t>
      </w:r>
      <w:r w:rsidR="00607A98" w:rsidRPr="00EB78D2">
        <w:rPr>
          <w:rFonts w:ascii="Arial" w:hAnsi="Arial" w:cs="Arial"/>
          <w:sz w:val="24"/>
          <w:szCs w:val="24"/>
        </w:rPr>
        <w:t xml:space="preserve">o de la Información Crediticia", agregado a continuación del Art. 32 de la Ley del Sistema Nacional del Registro de Datos Públicos, por </w:t>
      </w:r>
      <w:r w:rsidR="00C823F2" w:rsidRPr="00EB78D2">
        <w:rPr>
          <w:rFonts w:ascii="Arial" w:hAnsi="Arial" w:cs="Arial"/>
          <w:sz w:val="24"/>
          <w:szCs w:val="24"/>
        </w:rPr>
        <w:t>la Ley Orgánica Derogatoria a la Ley de Bur</w:t>
      </w:r>
      <w:r w:rsidR="008563CB" w:rsidRPr="00EB78D2">
        <w:rPr>
          <w:rFonts w:ascii="Arial" w:hAnsi="Arial" w:cs="Arial"/>
          <w:sz w:val="24"/>
          <w:szCs w:val="24"/>
        </w:rPr>
        <w:t>ó</w:t>
      </w:r>
      <w:r w:rsidR="00C823F2" w:rsidRPr="00EB78D2">
        <w:rPr>
          <w:rFonts w:ascii="Arial" w:hAnsi="Arial" w:cs="Arial"/>
          <w:sz w:val="24"/>
          <w:szCs w:val="24"/>
        </w:rPr>
        <w:t>s de Información Crediticia y Reformatoria a la Ley del Sistema Nacional del Registro de Datos Públicos, a la Ley Orgánica de la Economía Popular y Solidaria y del Sector Financiero Popular y Solidario y a la Ley de Compañías.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F1017C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Art. 4</w:t>
      </w:r>
      <w:r w:rsidR="00C823F2" w:rsidRPr="00EB78D2">
        <w:rPr>
          <w:rFonts w:ascii="Arial" w:hAnsi="Arial" w:cs="Arial"/>
          <w:sz w:val="24"/>
          <w:szCs w:val="24"/>
        </w:rPr>
        <w:t xml:space="preserve">.- Las compañías que cumplan las condiciones establecidas en el </w:t>
      </w:r>
      <w:r w:rsidRPr="00EB78D2">
        <w:rPr>
          <w:rFonts w:ascii="Arial" w:hAnsi="Arial" w:cs="Arial"/>
          <w:sz w:val="24"/>
          <w:szCs w:val="24"/>
        </w:rPr>
        <w:t>Art. 1 de la presente resolución,</w:t>
      </w:r>
      <w:r w:rsidR="00C823F2" w:rsidRPr="00EB78D2">
        <w:rPr>
          <w:rFonts w:ascii="Arial" w:hAnsi="Arial" w:cs="Arial"/>
          <w:sz w:val="24"/>
          <w:szCs w:val="24"/>
        </w:rPr>
        <w:t xml:space="preserve"> deberán registrarse</w:t>
      </w:r>
      <w:r w:rsidR="005A7993" w:rsidRPr="00EB78D2">
        <w:rPr>
          <w:rFonts w:ascii="Arial" w:hAnsi="Arial" w:cs="Arial"/>
          <w:sz w:val="24"/>
          <w:szCs w:val="24"/>
        </w:rPr>
        <w:t xml:space="preserve"> tanto </w:t>
      </w:r>
      <w:r w:rsidR="00C823F2" w:rsidRPr="00EB78D2">
        <w:rPr>
          <w:rFonts w:ascii="Arial" w:hAnsi="Arial" w:cs="Arial"/>
          <w:sz w:val="24"/>
          <w:szCs w:val="24"/>
        </w:rPr>
        <w:t>en la Superintendencia de Compañías</w:t>
      </w:r>
      <w:r w:rsidR="005A7993" w:rsidRPr="00EB78D2">
        <w:rPr>
          <w:rFonts w:ascii="Arial" w:hAnsi="Arial" w:cs="Arial"/>
          <w:sz w:val="24"/>
          <w:szCs w:val="24"/>
        </w:rPr>
        <w:t xml:space="preserve"> como en la Dirección Nacio</w:t>
      </w:r>
      <w:r w:rsidR="002F1EA5" w:rsidRPr="00EB78D2">
        <w:rPr>
          <w:rFonts w:ascii="Arial" w:hAnsi="Arial" w:cs="Arial"/>
          <w:sz w:val="24"/>
          <w:szCs w:val="24"/>
        </w:rPr>
        <w:t>n</w:t>
      </w:r>
      <w:r w:rsidR="005A7993" w:rsidRPr="00EB78D2">
        <w:rPr>
          <w:rFonts w:ascii="Arial" w:hAnsi="Arial" w:cs="Arial"/>
          <w:sz w:val="24"/>
          <w:szCs w:val="24"/>
        </w:rPr>
        <w:t>al de Registro de Datos Públicos</w:t>
      </w:r>
      <w:r w:rsidR="00C823F2" w:rsidRPr="00EB78D2">
        <w:rPr>
          <w:rFonts w:ascii="Arial" w:hAnsi="Arial" w:cs="Arial"/>
          <w:sz w:val="24"/>
          <w:szCs w:val="24"/>
        </w:rPr>
        <w:t xml:space="preserve"> con el fin de suministrar la información correspondiente a esta entidad</w:t>
      </w:r>
      <w:r w:rsidR="00591F5D" w:rsidRPr="00EB78D2">
        <w:rPr>
          <w:rFonts w:ascii="Arial" w:hAnsi="Arial" w:cs="Arial"/>
          <w:sz w:val="24"/>
          <w:szCs w:val="24"/>
        </w:rPr>
        <w:t xml:space="preserve"> de control</w:t>
      </w:r>
      <w:r w:rsidR="00C823F2" w:rsidRPr="00EB78D2">
        <w:rPr>
          <w:rFonts w:ascii="Arial" w:hAnsi="Arial" w:cs="Arial"/>
          <w:sz w:val="24"/>
          <w:szCs w:val="24"/>
        </w:rPr>
        <w:t xml:space="preserve">, así como aquella que deberán remitir directamente al Registro </w:t>
      </w:r>
      <w:r w:rsidR="00591974" w:rsidRPr="00EB78D2">
        <w:rPr>
          <w:rFonts w:ascii="Arial" w:hAnsi="Arial" w:cs="Arial"/>
          <w:sz w:val="24"/>
          <w:szCs w:val="24"/>
        </w:rPr>
        <w:t xml:space="preserve">de Datos </w:t>
      </w:r>
      <w:r w:rsidR="00C823F2" w:rsidRPr="00EB78D2">
        <w:rPr>
          <w:rFonts w:ascii="Arial" w:hAnsi="Arial" w:cs="Arial"/>
          <w:sz w:val="24"/>
          <w:szCs w:val="24"/>
        </w:rPr>
        <w:t>Crediticio</w:t>
      </w:r>
      <w:r w:rsidR="00591974" w:rsidRPr="00EB78D2">
        <w:rPr>
          <w:rFonts w:ascii="Arial" w:hAnsi="Arial" w:cs="Arial"/>
          <w:sz w:val="24"/>
          <w:szCs w:val="24"/>
        </w:rPr>
        <w:t>s</w:t>
      </w:r>
      <w:r w:rsidR="00C823F2" w:rsidRPr="00EB78D2">
        <w:rPr>
          <w:rFonts w:ascii="Arial" w:hAnsi="Arial" w:cs="Arial"/>
          <w:sz w:val="24"/>
          <w:szCs w:val="24"/>
        </w:rPr>
        <w:t>. La Superintendencia de Compañías hará conocer a la Dirección Nacional de Registro de Datos Públicos la lista de compañías así registradas.</w:t>
      </w:r>
    </w:p>
    <w:p w:rsidR="00356F01" w:rsidRPr="00EB78D2" w:rsidRDefault="00356F0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91974" w:rsidRPr="00EB78D2" w:rsidRDefault="00356F0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  <w:lang w:val="es-ES"/>
        </w:rPr>
        <w:t xml:space="preserve">Art. </w:t>
      </w:r>
      <w:r w:rsidR="0027358B" w:rsidRPr="00EB78D2">
        <w:rPr>
          <w:rFonts w:ascii="Arial" w:hAnsi="Arial" w:cs="Arial"/>
          <w:sz w:val="24"/>
          <w:szCs w:val="24"/>
          <w:lang w:val="es-ES"/>
        </w:rPr>
        <w:t>5</w:t>
      </w:r>
      <w:r w:rsidRPr="00EB78D2">
        <w:rPr>
          <w:rFonts w:ascii="Arial" w:hAnsi="Arial" w:cs="Arial"/>
          <w:sz w:val="24"/>
          <w:szCs w:val="24"/>
          <w:lang w:val="es-ES"/>
        </w:rPr>
        <w:t xml:space="preserve">.- </w:t>
      </w:r>
      <w:r w:rsidR="00591974" w:rsidRPr="00EB78D2">
        <w:rPr>
          <w:rFonts w:ascii="Arial" w:hAnsi="Arial" w:cs="Arial"/>
          <w:sz w:val="24"/>
          <w:szCs w:val="24"/>
          <w:lang w:val="es-ES"/>
        </w:rPr>
        <w:t>Conforme lo dispuesto en el Art. 460 de la Ley de Compañías, l</w:t>
      </w:r>
      <w:r w:rsidRPr="00EB78D2">
        <w:rPr>
          <w:rFonts w:ascii="Arial" w:hAnsi="Arial" w:cs="Arial"/>
          <w:sz w:val="24"/>
          <w:szCs w:val="24"/>
          <w:lang w:val="es-ES"/>
        </w:rPr>
        <w:t xml:space="preserve">a Superintendencia de Compañías impondrá </w:t>
      </w:r>
      <w:r w:rsidR="00591974" w:rsidRPr="00EB78D2">
        <w:rPr>
          <w:rFonts w:ascii="Arial" w:hAnsi="Arial" w:cs="Arial"/>
          <w:sz w:val="24"/>
          <w:szCs w:val="24"/>
          <w:lang w:val="es-ES"/>
        </w:rPr>
        <w:t xml:space="preserve">sanciones correspondientes </w:t>
      </w:r>
      <w:r w:rsidRPr="00EB78D2">
        <w:rPr>
          <w:rFonts w:ascii="Arial" w:hAnsi="Arial" w:cs="Arial"/>
          <w:sz w:val="24"/>
          <w:szCs w:val="24"/>
          <w:lang w:val="es-ES"/>
        </w:rPr>
        <w:t xml:space="preserve">a las sociedades sometidas a su vigilancia y control </w:t>
      </w:r>
      <w:r w:rsidR="00591974" w:rsidRPr="00EB78D2">
        <w:rPr>
          <w:rFonts w:ascii="Arial" w:hAnsi="Arial" w:cs="Arial"/>
          <w:sz w:val="24"/>
          <w:szCs w:val="24"/>
          <w:lang w:val="es-ES"/>
        </w:rPr>
        <w:t xml:space="preserve">cuando </w:t>
      </w:r>
      <w:r w:rsidR="00B4119E" w:rsidRPr="00EB78D2">
        <w:rPr>
          <w:rFonts w:ascii="Arial" w:hAnsi="Arial" w:cs="Arial"/>
          <w:sz w:val="24"/>
          <w:szCs w:val="24"/>
          <w:lang w:val="es-ES"/>
        </w:rPr>
        <w:t>e</w:t>
      </w:r>
      <w:r w:rsidR="00591974" w:rsidRPr="00EB78D2">
        <w:rPr>
          <w:rFonts w:ascii="Arial" w:hAnsi="Arial" w:cs="Arial"/>
          <w:sz w:val="24"/>
          <w:szCs w:val="24"/>
          <w:lang w:val="es-ES"/>
        </w:rPr>
        <w:t xml:space="preserve">stas </w:t>
      </w:r>
      <w:r w:rsidRPr="00EB78D2">
        <w:rPr>
          <w:rFonts w:ascii="Arial" w:hAnsi="Arial" w:cs="Arial"/>
          <w:sz w:val="24"/>
          <w:szCs w:val="24"/>
        </w:rPr>
        <w:t>entreguen</w:t>
      </w:r>
      <w:r w:rsidR="00591974" w:rsidRPr="00EB78D2">
        <w:rPr>
          <w:rFonts w:ascii="Arial" w:hAnsi="Arial" w:cs="Arial"/>
          <w:sz w:val="24"/>
          <w:szCs w:val="24"/>
        </w:rPr>
        <w:t xml:space="preserve"> o proporcionen los registros de datos de la </w:t>
      </w:r>
      <w:r w:rsidRPr="00EB78D2">
        <w:rPr>
          <w:rFonts w:ascii="Arial" w:hAnsi="Arial" w:cs="Arial"/>
          <w:sz w:val="24"/>
          <w:szCs w:val="24"/>
        </w:rPr>
        <w:t xml:space="preserve">información </w:t>
      </w:r>
      <w:r w:rsidR="00591974" w:rsidRPr="00EB78D2">
        <w:rPr>
          <w:rFonts w:ascii="Arial" w:hAnsi="Arial" w:cs="Arial"/>
          <w:sz w:val="24"/>
          <w:szCs w:val="24"/>
        </w:rPr>
        <w:t>referente al historial crediticio:</w:t>
      </w:r>
    </w:p>
    <w:p w:rsidR="00591974" w:rsidRPr="00EB78D2" w:rsidRDefault="00591974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91974" w:rsidRPr="00EB78D2" w:rsidRDefault="00591974" w:rsidP="00B464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B78D2">
        <w:rPr>
          <w:rFonts w:ascii="Arial" w:hAnsi="Arial" w:cs="Arial"/>
          <w:sz w:val="24"/>
          <w:szCs w:val="24"/>
        </w:rPr>
        <w:t>A</w:t>
      </w:r>
      <w:r w:rsidR="00356F01" w:rsidRPr="00EB78D2">
        <w:rPr>
          <w:rFonts w:ascii="Arial" w:hAnsi="Arial" w:cs="Arial"/>
          <w:sz w:val="24"/>
          <w:szCs w:val="24"/>
        </w:rPr>
        <w:t xml:space="preserve"> cualquier otra institución que no sea al Registro de Datos Crediticios </w:t>
      </w:r>
      <w:r w:rsidRPr="00EB78D2">
        <w:rPr>
          <w:rFonts w:ascii="Arial" w:hAnsi="Arial" w:cs="Arial"/>
          <w:sz w:val="24"/>
          <w:szCs w:val="24"/>
        </w:rPr>
        <w:t>o a aquellas expresamente determinadas en la Ley</w:t>
      </w:r>
      <w:r w:rsidR="00356F01" w:rsidRPr="00EB78D2">
        <w:rPr>
          <w:rFonts w:ascii="Arial" w:hAnsi="Arial" w:cs="Arial"/>
          <w:sz w:val="24"/>
          <w:szCs w:val="24"/>
        </w:rPr>
        <w:t xml:space="preserve">; </w:t>
      </w:r>
    </w:p>
    <w:p w:rsidR="00591974" w:rsidRPr="00EB78D2" w:rsidRDefault="00591974" w:rsidP="00B464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B78D2">
        <w:rPr>
          <w:rFonts w:ascii="Arial" w:hAnsi="Arial" w:cs="Arial"/>
          <w:sz w:val="24"/>
          <w:szCs w:val="24"/>
        </w:rPr>
        <w:t xml:space="preserve">De manera </w:t>
      </w:r>
      <w:r w:rsidR="00356F01" w:rsidRPr="00EB78D2">
        <w:rPr>
          <w:rFonts w:ascii="Arial" w:hAnsi="Arial" w:cs="Arial"/>
          <w:sz w:val="24"/>
          <w:szCs w:val="24"/>
        </w:rPr>
        <w:t>deliberada y dolosa</w:t>
      </w:r>
      <w:r w:rsidRPr="00EB78D2">
        <w:rPr>
          <w:rFonts w:ascii="Arial" w:hAnsi="Arial" w:cs="Arial"/>
          <w:sz w:val="24"/>
          <w:szCs w:val="24"/>
        </w:rPr>
        <w:t xml:space="preserve"> información falsa o maliciosa; </w:t>
      </w:r>
    </w:p>
    <w:p w:rsidR="00591974" w:rsidRPr="00EB78D2" w:rsidRDefault="00591974" w:rsidP="00B464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B78D2">
        <w:rPr>
          <w:rFonts w:ascii="Arial" w:hAnsi="Arial" w:cs="Arial"/>
          <w:sz w:val="24"/>
          <w:szCs w:val="24"/>
        </w:rPr>
        <w:t>P</w:t>
      </w:r>
      <w:r w:rsidR="00356F01" w:rsidRPr="00EB78D2">
        <w:rPr>
          <w:rFonts w:ascii="Arial" w:hAnsi="Arial" w:cs="Arial"/>
          <w:sz w:val="24"/>
          <w:szCs w:val="24"/>
        </w:rPr>
        <w:t>or error o culpa información falsa o contraria a la ley</w:t>
      </w:r>
      <w:r w:rsidRPr="00EB78D2">
        <w:rPr>
          <w:rFonts w:ascii="Arial" w:hAnsi="Arial" w:cs="Arial"/>
          <w:sz w:val="24"/>
          <w:szCs w:val="24"/>
        </w:rPr>
        <w:t>; y/o</w:t>
      </w:r>
      <w:r w:rsidR="00356F01" w:rsidRPr="00EB78D2">
        <w:rPr>
          <w:rFonts w:ascii="Arial" w:hAnsi="Arial" w:cs="Arial"/>
          <w:sz w:val="24"/>
          <w:szCs w:val="24"/>
        </w:rPr>
        <w:t>,</w:t>
      </w:r>
    </w:p>
    <w:p w:rsidR="00591974" w:rsidRPr="00EB78D2" w:rsidRDefault="00591974" w:rsidP="00B464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B78D2">
        <w:rPr>
          <w:rFonts w:ascii="Arial" w:hAnsi="Arial" w:cs="Arial"/>
          <w:sz w:val="24"/>
          <w:szCs w:val="24"/>
        </w:rPr>
        <w:t>S</w:t>
      </w:r>
      <w:r w:rsidR="00356F01" w:rsidRPr="00EB78D2">
        <w:rPr>
          <w:rFonts w:ascii="Arial" w:hAnsi="Arial" w:cs="Arial"/>
          <w:sz w:val="24"/>
          <w:szCs w:val="24"/>
        </w:rPr>
        <w:t xml:space="preserve">e venda o intercambie información de la base de datos </w:t>
      </w:r>
      <w:r w:rsidR="003F7988" w:rsidRPr="00EB78D2">
        <w:rPr>
          <w:rFonts w:ascii="Arial" w:hAnsi="Arial" w:cs="Arial"/>
          <w:sz w:val="24"/>
          <w:szCs w:val="24"/>
        </w:rPr>
        <w:t>crediticios.</w:t>
      </w:r>
    </w:p>
    <w:p w:rsidR="001F188F" w:rsidRPr="00EB78D2" w:rsidRDefault="001F188F" w:rsidP="00B4648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56F01" w:rsidRPr="00EB78D2" w:rsidRDefault="00591974" w:rsidP="00B464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B78D2">
        <w:rPr>
          <w:rFonts w:ascii="Arial" w:hAnsi="Arial" w:cs="Arial"/>
          <w:sz w:val="24"/>
          <w:szCs w:val="24"/>
        </w:rPr>
        <w:t xml:space="preserve">Las sanciones se impondrán </w:t>
      </w:r>
      <w:r w:rsidRPr="00EB78D2">
        <w:rPr>
          <w:rFonts w:ascii="Arial" w:hAnsi="Arial" w:cs="Arial"/>
          <w:sz w:val="24"/>
          <w:szCs w:val="24"/>
          <w:lang w:val="es-ES"/>
        </w:rPr>
        <w:t>sin perjuicio de las correspondientes responsabilidades administrativas, civiles o penales a que hubiere lugar.</w:t>
      </w:r>
    </w:p>
    <w:p w:rsidR="00356F01" w:rsidRPr="00EB78D2" w:rsidRDefault="00356F0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356F01" w:rsidRPr="00EB78D2" w:rsidRDefault="00356F0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EB78D2">
        <w:rPr>
          <w:rFonts w:ascii="Arial" w:hAnsi="Arial" w:cs="Arial"/>
          <w:sz w:val="24"/>
          <w:szCs w:val="24"/>
          <w:lang w:val="es-ES"/>
        </w:rPr>
        <w:t xml:space="preserve">Art. </w:t>
      </w:r>
      <w:r w:rsidR="0027358B" w:rsidRPr="00EB78D2">
        <w:rPr>
          <w:rFonts w:ascii="Arial" w:hAnsi="Arial" w:cs="Arial"/>
          <w:sz w:val="24"/>
          <w:szCs w:val="24"/>
          <w:lang w:val="es-ES"/>
        </w:rPr>
        <w:t>6</w:t>
      </w:r>
      <w:r w:rsidRPr="00EB78D2">
        <w:rPr>
          <w:rFonts w:ascii="Arial" w:hAnsi="Arial" w:cs="Arial"/>
          <w:sz w:val="24"/>
          <w:szCs w:val="24"/>
          <w:lang w:val="es-ES"/>
        </w:rPr>
        <w:t xml:space="preserve">.- El incumplimiento de las disposiciones señaladas en la presente </w:t>
      </w:r>
      <w:r w:rsidR="001819EB" w:rsidRPr="00EB78D2">
        <w:rPr>
          <w:rFonts w:ascii="Arial" w:hAnsi="Arial" w:cs="Arial"/>
          <w:sz w:val="24"/>
          <w:szCs w:val="24"/>
          <w:lang w:val="es-ES"/>
        </w:rPr>
        <w:t>r</w:t>
      </w:r>
      <w:r w:rsidRPr="00EB78D2">
        <w:rPr>
          <w:rFonts w:ascii="Arial" w:hAnsi="Arial" w:cs="Arial"/>
          <w:sz w:val="24"/>
          <w:szCs w:val="24"/>
          <w:lang w:val="es-ES"/>
        </w:rPr>
        <w:t>esolución faculta al Superintendente de Compañías o a su delegado para que, previo el procedimiento establecido en la Ley de Compañías, puedan declarar de oficio o a petición de parte la intervención de las compañías incumplidas de conformidad con lo dispuesto en el artículo 354 numeral quinto</w:t>
      </w:r>
      <w:r w:rsidR="008F2916" w:rsidRPr="00EB78D2">
        <w:rPr>
          <w:rFonts w:ascii="Arial" w:hAnsi="Arial" w:cs="Arial"/>
          <w:sz w:val="24"/>
          <w:szCs w:val="24"/>
          <w:lang w:val="es-ES"/>
        </w:rPr>
        <w:t xml:space="preserve"> de la Ley de Compañías</w:t>
      </w:r>
      <w:r w:rsidRPr="00EB78D2">
        <w:rPr>
          <w:rFonts w:ascii="Arial" w:hAnsi="Arial" w:cs="Arial"/>
          <w:sz w:val="24"/>
          <w:szCs w:val="24"/>
          <w:lang w:val="es-ES"/>
        </w:rPr>
        <w:t xml:space="preserve">, en relación con el artículo 432 inciso quinto de </w:t>
      </w:r>
      <w:r w:rsidR="00B67C53" w:rsidRPr="00EB78D2">
        <w:rPr>
          <w:rFonts w:ascii="Arial" w:hAnsi="Arial" w:cs="Arial"/>
          <w:sz w:val="24"/>
          <w:szCs w:val="24"/>
          <w:lang w:val="es-ES"/>
        </w:rPr>
        <w:t>la misma ley</w:t>
      </w:r>
      <w:r w:rsidRPr="00EB78D2">
        <w:rPr>
          <w:rFonts w:ascii="Arial" w:hAnsi="Arial" w:cs="Arial"/>
          <w:sz w:val="24"/>
          <w:szCs w:val="24"/>
          <w:lang w:val="es-ES"/>
        </w:rPr>
        <w:t xml:space="preserve">; o su disolución y liquidación por las causales previstas en los numerales 11 y 12 del artículo 361 de la misma </w:t>
      </w:r>
      <w:r w:rsidR="008563CB" w:rsidRPr="00EB78D2">
        <w:rPr>
          <w:rFonts w:ascii="Arial" w:hAnsi="Arial" w:cs="Arial"/>
          <w:sz w:val="24"/>
          <w:szCs w:val="24"/>
          <w:lang w:val="es-ES"/>
        </w:rPr>
        <w:t>L</w:t>
      </w:r>
      <w:r w:rsidRPr="00EB78D2">
        <w:rPr>
          <w:rFonts w:ascii="Arial" w:hAnsi="Arial" w:cs="Arial"/>
          <w:sz w:val="24"/>
          <w:szCs w:val="24"/>
          <w:lang w:val="es-ES"/>
        </w:rPr>
        <w:t>ey.</w:t>
      </w:r>
    </w:p>
    <w:p w:rsidR="00356F01" w:rsidRPr="00EB78D2" w:rsidRDefault="00356F0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356F01" w:rsidRPr="00EB78D2" w:rsidRDefault="00356F0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EB78D2">
        <w:rPr>
          <w:rFonts w:ascii="Arial" w:hAnsi="Arial" w:cs="Arial"/>
          <w:sz w:val="24"/>
          <w:szCs w:val="24"/>
          <w:lang w:val="es-ES"/>
        </w:rPr>
        <w:t xml:space="preserve">Sin perjuicio de ello, si aparecieren hechos que pudieren ser punibles, la Superintendencia de Compañías remitirá el informe respectivo para conocimiento de la Fiscalía General del Estado de conformidad con </w:t>
      </w:r>
      <w:r w:rsidR="001F188F" w:rsidRPr="00EB78D2">
        <w:rPr>
          <w:rFonts w:ascii="Arial" w:hAnsi="Arial" w:cs="Arial"/>
          <w:sz w:val="24"/>
          <w:szCs w:val="24"/>
          <w:lang w:val="es-ES"/>
        </w:rPr>
        <w:t xml:space="preserve">el </w:t>
      </w:r>
      <w:r w:rsidR="00AD78E6" w:rsidRPr="00EB78D2">
        <w:rPr>
          <w:rFonts w:ascii="Arial" w:hAnsi="Arial" w:cs="Arial"/>
          <w:sz w:val="24"/>
          <w:szCs w:val="24"/>
          <w:lang w:val="es-ES"/>
        </w:rPr>
        <w:t>inciso</w:t>
      </w:r>
      <w:r w:rsidR="001F188F" w:rsidRPr="00EB78D2">
        <w:rPr>
          <w:rFonts w:ascii="Arial" w:hAnsi="Arial" w:cs="Arial"/>
          <w:sz w:val="24"/>
          <w:szCs w:val="24"/>
          <w:lang w:val="es-ES"/>
        </w:rPr>
        <w:t xml:space="preserve"> cuarto de</w:t>
      </w:r>
      <w:r w:rsidRPr="00EB78D2">
        <w:rPr>
          <w:rFonts w:ascii="Arial" w:hAnsi="Arial" w:cs="Arial"/>
          <w:sz w:val="24"/>
          <w:szCs w:val="24"/>
          <w:lang w:val="es-ES"/>
        </w:rPr>
        <w:t>l artículo 4</w:t>
      </w:r>
      <w:r w:rsidR="001F188F" w:rsidRPr="00EB78D2">
        <w:rPr>
          <w:rFonts w:ascii="Arial" w:hAnsi="Arial" w:cs="Arial"/>
          <w:sz w:val="24"/>
          <w:szCs w:val="24"/>
          <w:lang w:val="es-ES"/>
        </w:rPr>
        <w:t>60</w:t>
      </w:r>
      <w:r w:rsidRPr="00EB78D2">
        <w:rPr>
          <w:rFonts w:ascii="Arial" w:hAnsi="Arial" w:cs="Arial"/>
          <w:sz w:val="24"/>
          <w:szCs w:val="24"/>
          <w:lang w:val="es-ES"/>
        </w:rPr>
        <w:t xml:space="preserve"> de la Ley de Compañías.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740E1" w:rsidRPr="00EB78D2" w:rsidRDefault="003B6D1A" w:rsidP="00BF286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DISPOSICI</w:t>
      </w:r>
      <w:r w:rsidR="00A45BEF" w:rsidRPr="00EB78D2">
        <w:rPr>
          <w:rFonts w:ascii="Arial" w:hAnsi="Arial" w:cs="Arial"/>
          <w:sz w:val="24"/>
          <w:szCs w:val="24"/>
        </w:rPr>
        <w:t>O</w:t>
      </w:r>
      <w:r w:rsidRPr="00EB78D2">
        <w:rPr>
          <w:rFonts w:ascii="Arial" w:hAnsi="Arial" w:cs="Arial"/>
          <w:sz w:val="24"/>
          <w:szCs w:val="24"/>
        </w:rPr>
        <w:t>N</w:t>
      </w:r>
      <w:r w:rsidR="00A45BEF" w:rsidRPr="00EB78D2">
        <w:rPr>
          <w:rFonts w:ascii="Arial" w:hAnsi="Arial" w:cs="Arial"/>
          <w:sz w:val="24"/>
          <w:szCs w:val="24"/>
        </w:rPr>
        <w:t>ES</w:t>
      </w:r>
      <w:r w:rsidRPr="00EB78D2">
        <w:rPr>
          <w:rFonts w:ascii="Arial" w:hAnsi="Arial" w:cs="Arial"/>
          <w:sz w:val="24"/>
          <w:szCs w:val="24"/>
        </w:rPr>
        <w:t xml:space="preserve"> TRANSITORIA</w:t>
      </w:r>
      <w:r w:rsidR="00A45BEF" w:rsidRPr="00EB78D2">
        <w:rPr>
          <w:rFonts w:ascii="Arial" w:hAnsi="Arial" w:cs="Arial"/>
          <w:sz w:val="24"/>
          <w:szCs w:val="24"/>
        </w:rPr>
        <w:t>S</w:t>
      </w:r>
      <w:r w:rsidRPr="00EB78D2">
        <w:rPr>
          <w:rFonts w:ascii="Arial" w:hAnsi="Arial" w:cs="Arial"/>
          <w:sz w:val="24"/>
          <w:szCs w:val="24"/>
        </w:rPr>
        <w:t>.-</w:t>
      </w:r>
    </w:p>
    <w:p w:rsidR="00BF286B" w:rsidRPr="00EB78D2" w:rsidRDefault="00BF286B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B6D1A" w:rsidRDefault="003740E1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PRIMERA.-</w:t>
      </w:r>
      <w:r w:rsidR="00A45BEF" w:rsidRPr="00EB78D2">
        <w:rPr>
          <w:rFonts w:ascii="Arial" w:hAnsi="Arial" w:cs="Arial"/>
          <w:sz w:val="24"/>
          <w:szCs w:val="24"/>
        </w:rPr>
        <w:t xml:space="preserve"> </w:t>
      </w:r>
      <w:r w:rsidR="003B6D1A" w:rsidRPr="00EB78D2">
        <w:rPr>
          <w:rFonts w:ascii="Arial" w:hAnsi="Arial" w:cs="Arial"/>
          <w:sz w:val="24"/>
          <w:szCs w:val="24"/>
        </w:rPr>
        <w:t xml:space="preserve">La obligación de entregar la información crediticia a la </w:t>
      </w:r>
      <w:r w:rsidR="00EB78D2" w:rsidRPr="00EB78D2">
        <w:rPr>
          <w:rFonts w:ascii="Arial" w:hAnsi="Arial" w:cs="Arial"/>
          <w:sz w:val="24"/>
          <w:szCs w:val="24"/>
        </w:rPr>
        <w:t>Dirección Nacional de Registro de Datos Públicos</w:t>
      </w:r>
      <w:r w:rsidR="00EB78D2">
        <w:rPr>
          <w:rFonts w:ascii="Arial" w:hAnsi="Arial" w:cs="Arial"/>
          <w:sz w:val="24"/>
          <w:szCs w:val="24"/>
        </w:rPr>
        <w:t>,</w:t>
      </w:r>
      <w:r w:rsidR="003B6D1A" w:rsidRPr="00EB78D2">
        <w:rPr>
          <w:rFonts w:ascii="Arial" w:hAnsi="Arial" w:cs="Arial"/>
          <w:sz w:val="24"/>
          <w:szCs w:val="24"/>
        </w:rPr>
        <w:t xml:space="preserve"> por esta primera ocasión, deberá ser realizada máxim</w:t>
      </w:r>
      <w:r w:rsidR="00E86C1C" w:rsidRPr="00EB78D2">
        <w:rPr>
          <w:rFonts w:ascii="Arial" w:hAnsi="Arial" w:cs="Arial"/>
          <w:sz w:val="24"/>
          <w:szCs w:val="24"/>
        </w:rPr>
        <w:t>o</w:t>
      </w:r>
      <w:r w:rsidR="003B6D1A" w:rsidRPr="00EB78D2">
        <w:rPr>
          <w:rFonts w:ascii="Arial" w:hAnsi="Arial" w:cs="Arial"/>
          <w:sz w:val="24"/>
          <w:szCs w:val="24"/>
        </w:rPr>
        <w:t xml:space="preserve"> </w:t>
      </w:r>
      <w:r w:rsidR="00E86C1C" w:rsidRPr="00EB78D2">
        <w:rPr>
          <w:rFonts w:ascii="Arial" w:hAnsi="Arial" w:cs="Arial"/>
          <w:sz w:val="24"/>
          <w:szCs w:val="24"/>
        </w:rPr>
        <w:t xml:space="preserve">en el </w:t>
      </w:r>
      <w:r w:rsidR="00A45BEF" w:rsidRPr="00EB78D2">
        <w:rPr>
          <w:rFonts w:ascii="Arial" w:hAnsi="Arial" w:cs="Arial"/>
          <w:sz w:val="24"/>
          <w:szCs w:val="24"/>
        </w:rPr>
        <w:t>plazo</w:t>
      </w:r>
      <w:r w:rsidR="00E86C1C" w:rsidRPr="00EB78D2">
        <w:rPr>
          <w:rFonts w:ascii="Arial" w:hAnsi="Arial" w:cs="Arial"/>
          <w:sz w:val="24"/>
          <w:szCs w:val="24"/>
        </w:rPr>
        <w:t xml:space="preserve"> de </w:t>
      </w:r>
      <w:r w:rsidR="00A45BEF" w:rsidRPr="00EB78D2">
        <w:rPr>
          <w:rFonts w:ascii="Arial" w:hAnsi="Arial" w:cs="Arial"/>
          <w:sz w:val="24"/>
          <w:szCs w:val="24"/>
        </w:rPr>
        <w:t>3</w:t>
      </w:r>
      <w:r w:rsidR="003B6D1A" w:rsidRPr="00EB78D2">
        <w:rPr>
          <w:rFonts w:ascii="Arial" w:hAnsi="Arial" w:cs="Arial"/>
          <w:sz w:val="24"/>
          <w:szCs w:val="24"/>
        </w:rPr>
        <w:t xml:space="preserve">0 días </w:t>
      </w:r>
      <w:r w:rsidR="00E86C1C" w:rsidRPr="00EB78D2">
        <w:rPr>
          <w:rFonts w:ascii="Arial" w:hAnsi="Arial" w:cs="Arial"/>
          <w:sz w:val="24"/>
          <w:szCs w:val="24"/>
        </w:rPr>
        <w:t xml:space="preserve">calendario </w:t>
      </w:r>
      <w:r w:rsidR="003B6D1A" w:rsidRPr="00EB78D2">
        <w:rPr>
          <w:rFonts w:ascii="Arial" w:hAnsi="Arial" w:cs="Arial"/>
          <w:sz w:val="24"/>
          <w:szCs w:val="24"/>
        </w:rPr>
        <w:t>contados a partir de la fecha de la publicación de esta Resolución en el Registro Oficial.</w:t>
      </w:r>
    </w:p>
    <w:p w:rsidR="001438C5" w:rsidRDefault="001438C5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438C5" w:rsidRDefault="001438C5" w:rsidP="001438C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SEGUNDA.- 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>La Dirección Nacional de Registro de Datos Públicos confor</w:t>
      </w:r>
      <w:r>
        <w:rPr>
          <w:rFonts w:ascii="Arial" w:hAnsi="Arial" w:cs="Arial"/>
          <w:color w:val="000000" w:themeColor="text1"/>
          <w:sz w:val="24"/>
          <w:szCs w:val="24"/>
        </w:rPr>
        <w:t>me lo determina la Disposición T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>ransitoria  Quinta de la Ley Orgánica Derogatoria a la Ley de Burós de Información Crediticia y Reformatoria a la Ley del Sistema Nacional de Registro de Datos Públicos, a la Ley Orgánica de Economía Popular y Solidaria y del Sector Fin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 xml:space="preserve">nciero Popular y Solidaria y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 xml:space="preserve"> la Ley de Compañías, a partir de la publicación de </w:t>
      </w:r>
      <w:r>
        <w:rPr>
          <w:rFonts w:ascii="Arial" w:hAnsi="Arial" w:cs="Arial"/>
          <w:color w:val="000000" w:themeColor="text1"/>
          <w:sz w:val="24"/>
          <w:szCs w:val="24"/>
        </w:rPr>
        <w:t>la presente Resolución, iniciará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 xml:space="preserve"> un proceso de catastro de las compañías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 que dentro de sus actividades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 xml:space="preserve"> registren ventas a  crédito con o sin intereses.  </w:t>
      </w:r>
    </w:p>
    <w:p w:rsidR="001438C5" w:rsidRDefault="001438C5" w:rsidP="001438C5">
      <w:pPr>
        <w:jc w:val="both"/>
        <w:rPr>
          <w:color w:val="1F497D"/>
        </w:rPr>
      </w:pPr>
      <w:r w:rsidRPr="001438C5">
        <w:rPr>
          <w:rFonts w:ascii="Arial" w:hAnsi="Arial" w:cs="Arial"/>
          <w:color w:val="000000" w:themeColor="text1"/>
          <w:sz w:val="24"/>
          <w:szCs w:val="24"/>
        </w:rPr>
        <w:t>El catastro se realizará a través del Portal </w:t>
      </w:r>
      <w:hyperlink r:id="rId9" w:history="1">
        <w:r w:rsidRPr="001E7A0C">
          <w:rPr>
            <w:rStyle w:val="Hipervnculo"/>
            <w:rFonts w:ascii="Arial" w:hAnsi="Arial" w:cs="Arial"/>
            <w:sz w:val="24"/>
            <w:szCs w:val="24"/>
          </w:rPr>
          <w:t>www.dinardap.gob.ec</w:t>
        </w:r>
      </w:hyperlink>
      <w:r w:rsidRPr="001438C5">
        <w:rPr>
          <w:rFonts w:ascii="Arial" w:hAnsi="Arial" w:cs="Arial"/>
          <w:color w:val="000000" w:themeColor="text1"/>
          <w:sz w:val="24"/>
          <w:szCs w:val="24"/>
        </w:rPr>
        <w:t xml:space="preserve"> bajo exclusiva responsabilidad de la Dirección Nacional de Registro Datos Públicos, para </w:t>
      </w:r>
      <w:r>
        <w:rPr>
          <w:rFonts w:ascii="Arial" w:hAnsi="Arial" w:cs="Arial"/>
          <w:color w:val="000000" w:themeColor="text1"/>
          <w:sz w:val="24"/>
          <w:szCs w:val="24"/>
        </w:rPr>
        <w:t>cuyo efecto la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 xml:space="preserve"> Superintendencia </w:t>
      </w:r>
      <w:r>
        <w:rPr>
          <w:rFonts w:ascii="Arial" w:hAnsi="Arial" w:cs="Arial"/>
          <w:color w:val="000000" w:themeColor="text1"/>
          <w:sz w:val="24"/>
          <w:szCs w:val="24"/>
        </w:rPr>
        <w:t>de Compañías informará</w:t>
      </w:r>
      <w:r w:rsidRPr="001438C5">
        <w:rPr>
          <w:rFonts w:ascii="Arial" w:hAnsi="Arial" w:cs="Arial"/>
          <w:color w:val="000000" w:themeColor="text1"/>
          <w:sz w:val="24"/>
          <w:szCs w:val="24"/>
        </w:rPr>
        <w:t xml:space="preserve"> la convocatoria y procedimientos del inicio del catastro.</w:t>
      </w:r>
    </w:p>
    <w:p w:rsidR="001438C5" w:rsidRPr="00EB78D2" w:rsidRDefault="001438C5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B6D1A" w:rsidRDefault="003B6D1A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438C5" w:rsidRDefault="001438C5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438C5" w:rsidRPr="00EB78D2" w:rsidRDefault="001438C5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F286B" w:rsidRDefault="000D2ABB" w:rsidP="00BF286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 xml:space="preserve">DISPOSICIÓN </w:t>
      </w:r>
      <w:r w:rsidR="00832D76" w:rsidRPr="00EB78D2">
        <w:rPr>
          <w:rFonts w:ascii="Arial" w:hAnsi="Arial" w:cs="Arial"/>
          <w:sz w:val="24"/>
          <w:szCs w:val="24"/>
        </w:rPr>
        <w:t>DEROGATORIA</w:t>
      </w:r>
      <w:r w:rsidRPr="00EB78D2">
        <w:rPr>
          <w:rFonts w:ascii="Arial" w:hAnsi="Arial" w:cs="Arial"/>
          <w:sz w:val="24"/>
          <w:szCs w:val="24"/>
        </w:rPr>
        <w:t>.-</w:t>
      </w:r>
    </w:p>
    <w:p w:rsidR="001438C5" w:rsidRPr="00EB78D2" w:rsidRDefault="001438C5" w:rsidP="00BF286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F286B" w:rsidRPr="00EB78D2" w:rsidRDefault="00BF286B" w:rsidP="00BF286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D2ABB" w:rsidRPr="00EB78D2" w:rsidRDefault="008F2916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Derógase</w:t>
      </w:r>
      <w:r w:rsidR="000D2ABB" w:rsidRPr="00EB78D2">
        <w:rPr>
          <w:rFonts w:ascii="Arial" w:hAnsi="Arial" w:cs="Arial"/>
          <w:sz w:val="24"/>
          <w:szCs w:val="24"/>
        </w:rPr>
        <w:t xml:space="preserve"> la Resolución No.  SC.DSC.G.13.002 de 27 de marzo de 2013, publicada en el Registro Oficial No. 930 de 10 de abril de 2013.</w:t>
      </w:r>
    </w:p>
    <w:p w:rsidR="000D2ABB" w:rsidRPr="00EB78D2" w:rsidRDefault="000D2ABB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F286B" w:rsidRPr="00EB78D2" w:rsidRDefault="00955837" w:rsidP="00BF286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DISPOSICIÓN FINAL.-</w:t>
      </w:r>
    </w:p>
    <w:p w:rsidR="00BF286B" w:rsidRPr="00EB78D2" w:rsidRDefault="00BF286B" w:rsidP="00BF286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5837" w:rsidRPr="00EB78D2" w:rsidRDefault="00955837" w:rsidP="009558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>La presente Resolución entrará en vigencia a partir de su publicación en el Registro Oficial.</w:t>
      </w:r>
    </w:p>
    <w:p w:rsidR="00955837" w:rsidRPr="00EB78D2" w:rsidRDefault="00955837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D2">
        <w:rPr>
          <w:rFonts w:ascii="Arial" w:hAnsi="Arial" w:cs="Arial"/>
          <w:sz w:val="24"/>
          <w:szCs w:val="24"/>
        </w:rPr>
        <w:t xml:space="preserve">Comuníquese y publíquese.- Dada y firmada, en la Oficina Matriz de la Superintendencia de Compañías, en Guayaquil, a </w:t>
      </w:r>
      <w:r w:rsidR="004B3617">
        <w:rPr>
          <w:rFonts w:ascii="Arial" w:hAnsi="Arial" w:cs="Arial"/>
          <w:sz w:val="24"/>
          <w:szCs w:val="24"/>
        </w:rPr>
        <w:t>10 de octubre de 2013.</w:t>
      </w:r>
    </w:p>
    <w:p w:rsidR="00C823F2" w:rsidRPr="00EB78D2" w:rsidRDefault="00C823F2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F3BC8" w:rsidRPr="00EB78D2" w:rsidRDefault="006F3BC8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F3BC8" w:rsidRPr="00EB78D2" w:rsidRDefault="006F3BC8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F3BC8" w:rsidRPr="00EB78D2" w:rsidRDefault="006F3BC8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F3BC8" w:rsidRPr="00EB78D2" w:rsidRDefault="006F3BC8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F3BC8" w:rsidRPr="00EB78D2" w:rsidRDefault="006F3BC8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F3BC8" w:rsidRPr="00580447" w:rsidRDefault="00C823F2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80447">
        <w:rPr>
          <w:rFonts w:ascii="Arial" w:hAnsi="Arial" w:cs="Arial"/>
          <w:b/>
          <w:sz w:val="24"/>
          <w:szCs w:val="24"/>
        </w:rPr>
        <w:t>Ab. Suad Manssur Villagrán</w:t>
      </w:r>
    </w:p>
    <w:p w:rsidR="00C823F2" w:rsidRPr="00580447" w:rsidRDefault="00C823F2" w:rsidP="00382C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80447">
        <w:rPr>
          <w:rFonts w:ascii="Arial" w:hAnsi="Arial" w:cs="Arial"/>
          <w:b/>
          <w:sz w:val="24"/>
          <w:szCs w:val="24"/>
        </w:rPr>
        <w:t>Superintendenta de Compañías.</w:t>
      </w:r>
    </w:p>
    <w:p w:rsidR="004A1233" w:rsidRPr="00EB78D2" w:rsidRDefault="004A1233" w:rsidP="00B464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4A1233" w:rsidRPr="00EB78D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D9" w:rsidRDefault="003D78D9" w:rsidP="0050397D">
      <w:pPr>
        <w:spacing w:after="0" w:line="240" w:lineRule="auto"/>
      </w:pPr>
      <w:r>
        <w:separator/>
      </w:r>
    </w:p>
  </w:endnote>
  <w:endnote w:type="continuationSeparator" w:id="0">
    <w:p w:rsidR="003D78D9" w:rsidRDefault="003D78D9" w:rsidP="0050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D9" w:rsidRDefault="003D78D9" w:rsidP="0050397D">
      <w:pPr>
        <w:spacing w:after="0" w:line="240" w:lineRule="auto"/>
      </w:pPr>
      <w:r>
        <w:separator/>
      </w:r>
    </w:p>
  </w:footnote>
  <w:footnote w:type="continuationSeparator" w:id="0">
    <w:p w:rsidR="003D78D9" w:rsidRDefault="003D78D9" w:rsidP="0050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5" w:rsidRDefault="001438C5">
    <w:pPr>
      <w:pStyle w:val="Encabezado"/>
    </w:pPr>
    <w:r w:rsidRPr="001438C5">
      <w:rPr>
        <w:rFonts w:ascii="Verdana" w:eastAsia="Times New Roman" w:hAnsi="Verdana" w:cs="Calibri"/>
        <w:b/>
        <w:lang w:eastAsia="es-EC"/>
      </w:rPr>
      <w:object w:dxaOrig="3406" w:dyaOrig="1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3pt;height:56.95pt" o:ole="">
          <v:imagedata r:id="rId1" o:title=""/>
        </v:shape>
        <o:OLEObject Type="Embed" ProgID="Word.Document.8" ShapeID="_x0000_i1025" DrawAspect="Content" ObjectID="_1452597755" r:id="rId2">
          <o:FieldCodes>\s</o:FieldCodes>
        </o:OLEObject>
      </w:object>
    </w:r>
  </w:p>
  <w:p w:rsidR="0050397D" w:rsidRDefault="005039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3E90"/>
    <w:multiLevelType w:val="hybridMultilevel"/>
    <w:tmpl w:val="44CA78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21892"/>
    <w:multiLevelType w:val="hybridMultilevel"/>
    <w:tmpl w:val="8EAAB838"/>
    <w:lvl w:ilvl="0" w:tplc="30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F2"/>
    <w:rsid w:val="000045B7"/>
    <w:rsid w:val="00024871"/>
    <w:rsid w:val="0008304F"/>
    <w:rsid w:val="000915B6"/>
    <w:rsid w:val="000D169B"/>
    <w:rsid w:val="000D1933"/>
    <w:rsid w:val="000D2ABB"/>
    <w:rsid w:val="00101626"/>
    <w:rsid w:val="0013193B"/>
    <w:rsid w:val="001438C5"/>
    <w:rsid w:val="00155350"/>
    <w:rsid w:val="00167CDD"/>
    <w:rsid w:val="001819EB"/>
    <w:rsid w:val="001E777F"/>
    <w:rsid w:val="001F188F"/>
    <w:rsid w:val="0023159D"/>
    <w:rsid w:val="00263D79"/>
    <w:rsid w:val="0027358B"/>
    <w:rsid w:val="0029746C"/>
    <w:rsid w:val="002C1815"/>
    <w:rsid w:val="002F1EA5"/>
    <w:rsid w:val="00322E66"/>
    <w:rsid w:val="0035239E"/>
    <w:rsid w:val="00356950"/>
    <w:rsid w:val="00356F01"/>
    <w:rsid w:val="0036609D"/>
    <w:rsid w:val="003740E1"/>
    <w:rsid w:val="003757A3"/>
    <w:rsid w:val="00382C2F"/>
    <w:rsid w:val="0039634E"/>
    <w:rsid w:val="003B6D1A"/>
    <w:rsid w:val="003D78D9"/>
    <w:rsid w:val="003F7988"/>
    <w:rsid w:val="0048277A"/>
    <w:rsid w:val="004A1233"/>
    <w:rsid w:val="004B15FF"/>
    <w:rsid w:val="004B3617"/>
    <w:rsid w:val="004B6E9D"/>
    <w:rsid w:val="004D472A"/>
    <w:rsid w:val="004E34B6"/>
    <w:rsid w:val="0050397D"/>
    <w:rsid w:val="00514099"/>
    <w:rsid w:val="005173EB"/>
    <w:rsid w:val="0053268F"/>
    <w:rsid w:val="00580447"/>
    <w:rsid w:val="00591974"/>
    <w:rsid w:val="00591F5D"/>
    <w:rsid w:val="005A7993"/>
    <w:rsid w:val="005D0D9A"/>
    <w:rsid w:val="005D4A62"/>
    <w:rsid w:val="005F05EB"/>
    <w:rsid w:val="005F48BF"/>
    <w:rsid w:val="00607A98"/>
    <w:rsid w:val="0066051A"/>
    <w:rsid w:val="006952B7"/>
    <w:rsid w:val="006E46D4"/>
    <w:rsid w:val="006F3BC8"/>
    <w:rsid w:val="00766D8E"/>
    <w:rsid w:val="007843C0"/>
    <w:rsid w:val="0079258F"/>
    <w:rsid w:val="007A20BB"/>
    <w:rsid w:val="007E1833"/>
    <w:rsid w:val="00800E14"/>
    <w:rsid w:val="00832D76"/>
    <w:rsid w:val="008563CB"/>
    <w:rsid w:val="008646B9"/>
    <w:rsid w:val="008950B3"/>
    <w:rsid w:val="008A5BBA"/>
    <w:rsid w:val="008D167E"/>
    <w:rsid w:val="008F2916"/>
    <w:rsid w:val="00955837"/>
    <w:rsid w:val="009A0F3B"/>
    <w:rsid w:val="009A4D32"/>
    <w:rsid w:val="009D4A0C"/>
    <w:rsid w:val="009E3B2F"/>
    <w:rsid w:val="009F43AD"/>
    <w:rsid w:val="00A07A42"/>
    <w:rsid w:val="00A170F3"/>
    <w:rsid w:val="00A22696"/>
    <w:rsid w:val="00A45BEF"/>
    <w:rsid w:val="00AC180C"/>
    <w:rsid w:val="00AD51A8"/>
    <w:rsid w:val="00AD6C45"/>
    <w:rsid w:val="00AD78E6"/>
    <w:rsid w:val="00AE3EA7"/>
    <w:rsid w:val="00B166DD"/>
    <w:rsid w:val="00B22064"/>
    <w:rsid w:val="00B35900"/>
    <w:rsid w:val="00B4119E"/>
    <w:rsid w:val="00B4648E"/>
    <w:rsid w:val="00B5091F"/>
    <w:rsid w:val="00B67C53"/>
    <w:rsid w:val="00BC0054"/>
    <w:rsid w:val="00BF286B"/>
    <w:rsid w:val="00BF7CEC"/>
    <w:rsid w:val="00C047BE"/>
    <w:rsid w:val="00C366A8"/>
    <w:rsid w:val="00C73F82"/>
    <w:rsid w:val="00C823F2"/>
    <w:rsid w:val="00CC1D78"/>
    <w:rsid w:val="00CC566F"/>
    <w:rsid w:val="00CD68B8"/>
    <w:rsid w:val="00D046E8"/>
    <w:rsid w:val="00D07A8D"/>
    <w:rsid w:val="00D102D9"/>
    <w:rsid w:val="00D16FE0"/>
    <w:rsid w:val="00D25F95"/>
    <w:rsid w:val="00D874CD"/>
    <w:rsid w:val="00DE1AB7"/>
    <w:rsid w:val="00E47021"/>
    <w:rsid w:val="00E83485"/>
    <w:rsid w:val="00E86C1C"/>
    <w:rsid w:val="00EA7DBC"/>
    <w:rsid w:val="00EA7F20"/>
    <w:rsid w:val="00EB78D2"/>
    <w:rsid w:val="00EC769F"/>
    <w:rsid w:val="00EE5B0A"/>
    <w:rsid w:val="00F1017C"/>
    <w:rsid w:val="00F14A62"/>
    <w:rsid w:val="00F20C8B"/>
    <w:rsid w:val="00F65053"/>
    <w:rsid w:val="00FA6087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97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3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D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D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D7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D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97D"/>
  </w:style>
  <w:style w:type="paragraph" w:styleId="Piedepgina">
    <w:name w:val="footer"/>
    <w:basedOn w:val="Normal"/>
    <w:link w:val="PiedepginaCar"/>
    <w:uiPriority w:val="99"/>
    <w:unhideWhenUsed/>
    <w:rsid w:val="0050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97D"/>
  </w:style>
  <w:style w:type="paragraph" w:styleId="Revisin">
    <w:name w:val="Revision"/>
    <w:hidden/>
    <w:uiPriority w:val="99"/>
    <w:semiHidden/>
    <w:rsid w:val="002735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43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97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3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D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D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D7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D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97D"/>
  </w:style>
  <w:style w:type="paragraph" w:styleId="Piedepgina">
    <w:name w:val="footer"/>
    <w:basedOn w:val="Normal"/>
    <w:link w:val="PiedepginaCar"/>
    <w:uiPriority w:val="99"/>
    <w:unhideWhenUsed/>
    <w:rsid w:val="0050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97D"/>
  </w:style>
  <w:style w:type="paragraph" w:styleId="Revisin">
    <w:name w:val="Revision"/>
    <w:hidden/>
    <w:uiPriority w:val="99"/>
    <w:semiHidden/>
    <w:rsid w:val="002735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4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622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nardap.gob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43E2-3A86-4665-A7B6-304F076C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2863</Words>
  <Characters>15752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ahotec</cp:lastModifiedBy>
  <cp:revision>2</cp:revision>
  <cp:lastPrinted>2013-10-10T21:36:00Z</cp:lastPrinted>
  <dcterms:created xsi:type="dcterms:W3CDTF">2014-01-30T19:36:00Z</dcterms:created>
  <dcterms:modified xsi:type="dcterms:W3CDTF">2014-01-30T19:36:00Z</dcterms:modified>
</cp:coreProperties>
</file>